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3F" w:rsidRDefault="0015413F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/>
          <w:bCs/>
          <w:i/>
          <w:iCs/>
          <w:color w:val="999999"/>
          <w:sz w:val="21"/>
          <w:szCs w:val="21"/>
          <w:lang w:eastAsia="fr-FR"/>
        </w:rPr>
      </w:pPr>
    </w:p>
    <w:p w:rsidR="00203810" w:rsidRDefault="00203810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Cs/>
          <w:iCs/>
          <w:color w:val="999999"/>
          <w:sz w:val="21"/>
          <w:szCs w:val="21"/>
          <w:lang w:eastAsia="fr-FR"/>
        </w:rPr>
      </w:pPr>
    </w:p>
    <w:p w:rsidR="00203810" w:rsidRPr="00203810" w:rsidRDefault="00203810" w:rsidP="00203810">
      <w:pPr>
        <w:rPr>
          <w:rFonts w:ascii="Times New Roman" w:eastAsia="Times New Roman" w:hAnsi="Times New Roman" w:cs="Times New Roman"/>
          <w:lang w:eastAsia="fr-FR"/>
        </w:rPr>
      </w:pPr>
      <w:r w:rsidRPr="0020381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03810">
        <w:rPr>
          <w:rFonts w:ascii="Times New Roman" w:eastAsia="Times New Roman" w:hAnsi="Times New Roman" w:cs="Times New Roman"/>
          <w:lang w:eastAsia="fr-FR"/>
        </w:rPr>
        <w:instrText xml:space="preserve"> INCLUDEPICTURE "http://enseignants.se-unsa.org/local/cache-vignettes/L1170xH178/siteon0-e5814.png?1529653891" \* MERGEFORMATINET </w:instrText>
      </w:r>
      <w:r w:rsidRPr="0020381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0381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875665"/>
            <wp:effectExtent l="0" t="0" r="0" b="635"/>
            <wp:docPr id="1" name="Image 1" descr="http://enseignants.se-unsa.org/local/cache-vignettes/L1170xH178/siteon0-e5814.png?152965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seignants.se-unsa.org/local/cache-vignettes/L1170xH178/siteon0-e5814.png?15296538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810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03810" w:rsidRDefault="00203810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Cs/>
          <w:iCs/>
          <w:color w:val="999999"/>
          <w:sz w:val="21"/>
          <w:szCs w:val="21"/>
          <w:lang w:eastAsia="fr-FR"/>
        </w:rPr>
      </w:pPr>
    </w:p>
    <w:p w:rsidR="00203810" w:rsidRDefault="00203810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Cs/>
          <w:iCs/>
          <w:color w:val="999999"/>
          <w:sz w:val="21"/>
          <w:szCs w:val="21"/>
          <w:lang w:eastAsia="fr-FR"/>
        </w:rPr>
      </w:pPr>
    </w:p>
    <w:p w:rsidR="00203810" w:rsidRDefault="00203810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Cs/>
          <w:iCs/>
          <w:color w:val="999999"/>
          <w:sz w:val="21"/>
          <w:szCs w:val="21"/>
          <w:lang w:eastAsia="fr-FR"/>
        </w:rPr>
      </w:pPr>
    </w:p>
    <w:p w:rsidR="00203810" w:rsidRDefault="00203810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Cs/>
          <w:iCs/>
          <w:color w:val="999999"/>
          <w:sz w:val="21"/>
          <w:szCs w:val="21"/>
          <w:lang w:eastAsia="fr-FR"/>
        </w:rPr>
      </w:pPr>
    </w:p>
    <w:p w:rsidR="00203810" w:rsidRDefault="00203810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Cs/>
          <w:iCs/>
          <w:color w:val="999999"/>
          <w:sz w:val="21"/>
          <w:szCs w:val="21"/>
          <w:lang w:eastAsia="fr-FR"/>
        </w:rPr>
      </w:pPr>
    </w:p>
    <w:p w:rsidR="00203810" w:rsidRDefault="00203810" w:rsidP="009E4998">
      <w:pPr>
        <w:shd w:val="clear" w:color="auto" w:fill="FFFFFF"/>
        <w:jc w:val="both"/>
        <w:rPr>
          <w:rFonts w:ascii="Helvetica Neue" w:eastAsia="Times New Roman" w:hAnsi="Helvetica Neue" w:cs="Times New Roman"/>
          <w:bCs/>
          <w:iCs/>
          <w:color w:val="999999"/>
          <w:sz w:val="21"/>
          <w:szCs w:val="21"/>
          <w:lang w:eastAsia="fr-FR"/>
        </w:rPr>
      </w:pPr>
    </w:p>
    <w:p w:rsidR="0015413F" w:rsidRPr="00203810" w:rsidRDefault="0015413F" w:rsidP="00203810">
      <w:pPr>
        <w:shd w:val="clear" w:color="auto" w:fill="FFFFFF"/>
        <w:jc w:val="both"/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</w:pPr>
      <w:r w:rsidRPr="00203810"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  <w:t>D’abord nous tenons à remercier le personn</w:t>
      </w:r>
      <w:bookmarkStart w:id="0" w:name="_GoBack"/>
      <w:bookmarkEnd w:id="0"/>
      <w:r w:rsidRPr="00203810"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  <w:t>el du rectorat pour leur écoute et leur professionnalisme habituel</w:t>
      </w:r>
      <w:r w:rsidR="00AE685F" w:rsidRPr="00203810"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  <w:t>.</w:t>
      </w:r>
    </w:p>
    <w:p w:rsidR="0015413F" w:rsidRPr="00203810" w:rsidRDefault="0015413F" w:rsidP="00203810">
      <w:pPr>
        <w:shd w:val="clear" w:color="auto" w:fill="FFFFFF"/>
        <w:jc w:val="both"/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</w:pPr>
    </w:p>
    <w:p w:rsidR="0015413F" w:rsidRPr="00203810" w:rsidRDefault="0015413F" w:rsidP="00203810">
      <w:pPr>
        <w:shd w:val="clear" w:color="auto" w:fill="FFFFFF"/>
        <w:jc w:val="both"/>
        <w:rPr>
          <w:rFonts w:eastAsia="Times New Roman" w:cs="Times New Roman"/>
          <w:b/>
          <w:bCs/>
          <w:i/>
          <w:iCs/>
          <w:color w:val="999999"/>
          <w:sz w:val="21"/>
          <w:szCs w:val="21"/>
          <w:lang w:eastAsia="fr-FR"/>
        </w:rPr>
      </w:pP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  <w:t xml:space="preserve">Cette fin d’année scolaire voit </w:t>
      </w:r>
      <w:r w:rsidR="0015413F" w:rsidRPr="00203810"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  <w:t xml:space="preserve">donc </w:t>
      </w:r>
      <w:r w:rsidRPr="009E4998"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  <w:t>la hors-classe nouvelle se mettre en place. Des modifications doivent être apportées au plus vite, y compris dès cette première vague de promotions</w:t>
      </w:r>
      <w:r w:rsidR="008B4CE1">
        <w:rPr>
          <w:rFonts w:eastAsia="Times New Roman" w:cs="Times New Roman"/>
          <w:bCs/>
          <w:iCs/>
          <w:color w:val="999999"/>
          <w:sz w:val="21"/>
          <w:szCs w:val="21"/>
          <w:lang w:eastAsia="fr-FR"/>
        </w:rPr>
        <w:t>, afin de remédier à ces divers points.</w:t>
      </w:r>
    </w:p>
    <w:p w:rsidR="00C12E27" w:rsidRPr="00203810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 </w:t>
      </w:r>
    </w:p>
    <w:p w:rsidR="00C12E27" w:rsidRPr="00203810" w:rsidRDefault="00C12E27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Ratios de promotions non-publiés, appréciations figées, départage à l’ancienneté de grade pénalisant les collègues passés d’un corps à l’autre, absence de lisibilité sur la transformation de la note en avis et de l’avis en appréciation, absence de prise en compte des </w:t>
      </w:r>
      <w:proofErr w:type="spell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retraitables</w:t>
      </w:r>
      <w:proofErr w:type="spell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 : des modifications doivent être apportées urgemment pour que la mise en place pratique ne vienne pas balayer le principe que tous les personnels ayant une carrière complète accèdent à </w:t>
      </w:r>
      <w:proofErr w:type="gram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la</w:t>
      </w:r>
      <w:proofErr w:type="gram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hors-classe.</w:t>
      </w: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 </w:t>
      </w:r>
    </w:p>
    <w:p w:rsidR="00B62BA0" w:rsidRPr="00203810" w:rsidRDefault="00AE685F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203810">
        <w:rPr>
          <w:rFonts w:eastAsia="Times New Roman" w:cs="Times New Roman"/>
          <w:color w:val="555555"/>
          <w:sz w:val="21"/>
          <w:szCs w:val="21"/>
          <w:lang w:eastAsia="fr-FR"/>
        </w:rPr>
        <w:t>Nous proposons :</w:t>
      </w: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- de préconiser, dès cette campagne de promotions, l’étude individuelle de chaque recours ;</w:t>
      </w: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- de donner des instructions en cas d’égalité de barème, pour prendre en compte l’ancienneté de service sur l'ensemble de la carrière, tous corps confondus ;</w:t>
      </w: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- de prévoir, dès l’année prochaine, la révision des appréciations et avis portés cette année.</w:t>
      </w:r>
    </w:p>
    <w:p w:rsidR="00AE685F" w:rsidRPr="00203810" w:rsidRDefault="00AE685F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</w:p>
    <w:p w:rsidR="00AE685F" w:rsidRPr="009E4998" w:rsidRDefault="00AE685F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Les app</w:t>
      </w:r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>réciations portées par</w:t>
      </w: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les recteurs sont définitives et seront conservées par les </w:t>
      </w:r>
      <w:proofErr w:type="spell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promouvables</w:t>
      </w:r>
      <w:proofErr w:type="spell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pour les campagnes suivantes de </w:t>
      </w:r>
      <w:proofErr w:type="gram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la</w:t>
      </w:r>
      <w:proofErr w:type="gram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hors-classe. Dans cette année transitoire, où tous les </w:t>
      </w:r>
      <w:proofErr w:type="spell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promouvables</w:t>
      </w:r>
      <w:proofErr w:type="spell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se sont vus attribuer un avis, sans rendez-vous de carrière et à des anciennetés dans la carrière très différentes, il apparaît</w:t>
      </w:r>
      <w:r w:rsidR="002B4C14">
        <w:rPr>
          <w:rFonts w:eastAsia="Times New Roman" w:cs="Times New Roman"/>
          <w:color w:val="555555"/>
          <w:sz w:val="21"/>
          <w:szCs w:val="21"/>
          <w:lang w:eastAsia="fr-FR"/>
        </w:rPr>
        <w:t xml:space="preserve">, par </w:t>
      </w:r>
      <w:proofErr w:type="gramStart"/>
      <w:r w:rsidR="002B4C14">
        <w:rPr>
          <w:rFonts w:eastAsia="Times New Roman" w:cs="Times New Roman"/>
          <w:color w:val="555555"/>
          <w:sz w:val="21"/>
          <w:szCs w:val="21"/>
          <w:lang w:eastAsia="fr-FR"/>
        </w:rPr>
        <w:t xml:space="preserve">exemple, </w:t>
      </w: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que</w:t>
      </w:r>
      <w:proofErr w:type="gram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les plus récents dans la plage d'appel se retrouvent très largement avec un avis « satisfaisant » très démobilisateur et pénalisant pour les prochaines campagnes.</w:t>
      </w:r>
    </w:p>
    <w:p w:rsidR="008B4CE1" w:rsidRDefault="008B4CE1" w:rsidP="00203810">
      <w:pPr>
        <w:shd w:val="clear" w:color="auto" w:fill="FFFFFF"/>
        <w:spacing w:after="343"/>
        <w:jc w:val="both"/>
        <w:rPr>
          <w:rFonts w:eastAsia="Times New Roman" w:cs="Times New Roman"/>
          <w:b/>
          <w:bCs/>
          <w:color w:val="007BA5"/>
          <w:sz w:val="21"/>
          <w:szCs w:val="21"/>
          <w:lang w:eastAsia="fr-FR"/>
        </w:rPr>
      </w:pPr>
    </w:p>
    <w:p w:rsidR="009E4998" w:rsidRPr="009E4998" w:rsidRDefault="009E4998" w:rsidP="00203810">
      <w:pPr>
        <w:shd w:val="clear" w:color="auto" w:fill="FFFFFF"/>
        <w:spacing w:after="343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b/>
          <w:bCs/>
          <w:color w:val="007BA5"/>
          <w:sz w:val="21"/>
          <w:szCs w:val="21"/>
          <w:lang w:eastAsia="fr-FR"/>
        </w:rPr>
        <w:t>Pour le SE-</w:t>
      </w:r>
      <w:proofErr w:type="spellStart"/>
      <w:r w:rsidRPr="009E4998">
        <w:rPr>
          <w:rFonts w:eastAsia="Times New Roman" w:cs="Times New Roman"/>
          <w:b/>
          <w:bCs/>
          <w:color w:val="007BA5"/>
          <w:sz w:val="21"/>
          <w:szCs w:val="21"/>
          <w:lang w:eastAsia="fr-FR"/>
        </w:rPr>
        <w:t>Unsa</w:t>
      </w:r>
      <w:proofErr w:type="spellEnd"/>
      <w:r w:rsidRPr="009E4998">
        <w:rPr>
          <w:rFonts w:eastAsia="Times New Roman" w:cs="Times New Roman"/>
          <w:b/>
          <w:bCs/>
          <w:color w:val="007BA5"/>
          <w:sz w:val="21"/>
          <w:szCs w:val="21"/>
          <w:lang w:eastAsia="fr-FR"/>
        </w:rPr>
        <w:t>, il faut revoir ce système en particulier pour cette période transitoire. Nous demandons une remise à plat de l'articulation avis primaire / appréciation de la valeur professionnelle.</w:t>
      </w:r>
    </w:p>
    <w:p w:rsidR="009E4998" w:rsidRPr="009E4998" w:rsidRDefault="009E4998" w:rsidP="00203810">
      <w:pPr>
        <w:shd w:val="clear" w:color="auto" w:fill="FFFFFF"/>
        <w:spacing w:after="343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En cas d’égalité de barème, le premier critère de départage préconisé par le ministère est l’ancienneté dans le grade </w:t>
      </w:r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 xml:space="preserve">classe normale. Cela pénalise tous les </w:t>
      </w:r>
      <w:proofErr w:type="gramStart"/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>collègues  intégrés</w:t>
      </w:r>
      <w:proofErr w:type="gramEnd"/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dans le corps des Certifiés </w:t>
      </w: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comme tous les enseignants passés d’un corps à un autre. Ces collègues-là ont en effet une ancienneté de grade inférieure à un collègue ayant effectué sa</w:t>
      </w:r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carrière dans le même corps </w:t>
      </w: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depuis le début.</w:t>
      </w:r>
    </w:p>
    <w:p w:rsidR="009E4998" w:rsidRPr="009E4998" w:rsidRDefault="009E4998" w:rsidP="00203810">
      <w:pPr>
        <w:shd w:val="clear" w:color="auto" w:fill="FFFFFF"/>
        <w:spacing w:after="343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b/>
          <w:bCs/>
          <w:color w:val="007BA5"/>
          <w:sz w:val="21"/>
          <w:szCs w:val="21"/>
          <w:lang w:eastAsia="fr-FR"/>
        </w:rPr>
        <w:t>Le SE-</w:t>
      </w:r>
      <w:proofErr w:type="spellStart"/>
      <w:r w:rsidRPr="009E4998">
        <w:rPr>
          <w:rFonts w:eastAsia="Times New Roman" w:cs="Times New Roman"/>
          <w:b/>
          <w:bCs/>
          <w:color w:val="007BA5"/>
          <w:sz w:val="21"/>
          <w:szCs w:val="21"/>
          <w:lang w:eastAsia="fr-FR"/>
        </w:rPr>
        <w:t>Unsa</w:t>
      </w:r>
      <w:proofErr w:type="spellEnd"/>
      <w:r w:rsidRPr="009E4998">
        <w:rPr>
          <w:rFonts w:eastAsia="Times New Roman" w:cs="Times New Roman"/>
          <w:b/>
          <w:bCs/>
          <w:color w:val="007BA5"/>
          <w:sz w:val="21"/>
          <w:szCs w:val="21"/>
          <w:lang w:eastAsia="fr-FR"/>
        </w:rPr>
        <w:t xml:space="preserve"> porte un critère de départage basé sur l’ancienneté de service dans les métiers de l'enseignement et de l'éducation (et non de grade).</w:t>
      </w:r>
    </w:p>
    <w:p w:rsidR="009E4998" w:rsidRPr="009E4998" w:rsidRDefault="009E4998" w:rsidP="00203810">
      <w:pPr>
        <w:shd w:val="clear" w:color="auto" w:fill="FFFFFF"/>
        <w:spacing w:after="343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lastRenderedPageBreak/>
        <w:t>À ce jour les ratios promus-</w:t>
      </w:r>
      <w:proofErr w:type="spell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promouvables</w:t>
      </w:r>
      <w:proofErr w:type="spell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ne sont toujours pas publiés car ils sont toujours soumis à l'arbitrage interministériel. Les nombres de promotions définitifs ne sont donc pas connus. C’est sur la base de projections établies par le ministère et envoyées a</w:t>
      </w:r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 xml:space="preserve">ux </w:t>
      </w:r>
      <w:proofErr w:type="gramStart"/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 xml:space="preserve">académies </w:t>
      </w: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que</w:t>
      </w:r>
      <w:proofErr w:type="gram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se tiennent de premières CAP</w:t>
      </w:r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académiques.</w:t>
      </w: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Le caractère provisoire du contingent empêche notamment de prononcer définitivement les promotions à </w:t>
      </w:r>
      <w:proofErr w:type="gram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la</w:t>
      </w:r>
      <w:proofErr w:type="gram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hors-classe. Dans d’</w:t>
      </w:r>
      <w:r w:rsidR="00C12E27" w:rsidRPr="00203810">
        <w:rPr>
          <w:rFonts w:eastAsia="Times New Roman" w:cs="Times New Roman"/>
          <w:color w:val="555555"/>
          <w:sz w:val="21"/>
          <w:szCs w:val="21"/>
          <w:lang w:eastAsia="fr-FR"/>
        </w:rPr>
        <w:t>autres académies</w:t>
      </w: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, les CAP sont </w:t>
      </w:r>
      <w:proofErr w:type="gram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repoussées</w:t>
      </w:r>
      <w:proofErr w:type="gram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.</w:t>
      </w:r>
    </w:p>
    <w:p w:rsidR="009E4998" w:rsidRPr="009E4998" w:rsidRDefault="009E4998" w:rsidP="00203810">
      <w:pPr>
        <w:shd w:val="clear" w:color="auto" w:fill="FFFFFF"/>
        <w:spacing w:after="343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La déclinaison du PPCR doit permettre à tous les personnels ayant une carrière complète d’accéder à </w:t>
      </w:r>
      <w:proofErr w:type="gram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la</w:t>
      </w:r>
      <w:proofErr w:type="gram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hors-classe. C’est l’une des raisons pour lesquelles le SE-</w:t>
      </w:r>
      <w:proofErr w:type="spellStart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>Unsa</w:t>
      </w:r>
      <w:proofErr w:type="spellEnd"/>
      <w:r w:rsidRPr="009E4998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a discuté et soutenu le PPCR.</w:t>
      </w:r>
      <w:r w:rsidR="00AE685F" w:rsidRPr="00203810">
        <w:rPr>
          <w:rFonts w:eastAsia="Times New Roman" w:cs="Times New Roman"/>
          <w:color w:val="555555"/>
          <w:sz w:val="21"/>
          <w:szCs w:val="21"/>
          <w:lang w:eastAsia="fr-FR"/>
        </w:rPr>
        <w:t xml:space="preserve"> </w:t>
      </w: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555555"/>
          <w:sz w:val="21"/>
          <w:szCs w:val="21"/>
          <w:lang w:eastAsia="fr-FR"/>
        </w:rPr>
      </w:pPr>
    </w:p>
    <w:p w:rsidR="009E4998" w:rsidRPr="009E4998" w:rsidRDefault="009E4998" w:rsidP="00203810">
      <w:pPr>
        <w:pBdr>
          <w:bottom w:val="single" w:sz="6" w:space="1" w:color="auto"/>
        </w:pBdr>
        <w:jc w:val="both"/>
        <w:rPr>
          <w:rFonts w:eastAsia="Times New Roman" w:cs="Arial"/>
          <w:vanish/>
          <w:sz w:val="16"/>
          <w:szCs w:val="16"/>
          <w:lang w:eastAsia="fr-FR"/>
        </w:rPr>
      </w:pPr>
      <w:r w:rsidRPr="009E4998">
        <w:rPr>
          <w:rFonts w:eastAsia="Times New Roman" w:cs="Arial"/>
          <w:vanish/>
          <w:sz w:val="16"/>
          <w:szCs w:val="16"/>
          <w:lang w:eastAsia="fr-FR"/>
        </w:rPr>
        <w:t>Haut du formulaire</w:t>
      </w:r>
    </w:p>
    <w:p w:rsidR="009E4998" w:rsidRPr="009E4998" w:rsidRDefault="009E4998" w:rsidP="00203810">
      <w:pPr>
        <w:shd w:val="clear" w:color="auto" w:fill="FFFFFF"/>
        <w:jc w:val="both"/>
        <w:rPr>
          <w:rFonts w:eastAsia="Times New Roman" w:cs="Times New Roman"/>
          <w:color w:val="999999"/>
          <w:sz w:val="21"/>
          <w:szCs w:val="21"/>
          <w:lang w:eastAsia="fr-FR"/>
        </w:rPr>
      </w:pPr>
    </w:p>
    <w:p w:rsidR="009E4998" w:rsidRPr="009E4998" w:rsidRDefault="009E4998" w:rsidP="00203810">
      <w:pPr>
        <w:shd w:val="clear" w:color="auto" w:fill="FFFFFF"/>
        <w:jc w:val="both"/>
        <w:textAlignment w:val="center"/>
        <w:rPr>
          <w:rFonts w:eastAsia="Times New Roman" w:cs="Times New Roman"/>
          <w:color w:val="999999"/>
          <w:sz w:val="2"/>
          <w:szCs w:val="2"/>
          <w:lang w:eastAsia="fr-FR"/>
        </w:rPr>
      </w:pPr>
      <w:r w:rsidRPr="009E4998">
        <w:rPr>
          <w:rFonts w:eastAsia="Times New Roman" w:cs="Times New Roman"/>
          <w:color w:val="999999"/>
          <w:sz w:val="2"/>
          <w:szCs w:val="2"/>
          <w:lang w:eastAsia="fr-FR"/>
        </w:rPr>
        <w:t> &gt;</w:t>
      </w:r>
      <w:r w:rsidRPr="009E4998">
        <w:rPr>
          <w:rFonts w:eastAsia="Times New Roman" w:cs="Arial"/>
          <w:vanish/>
          <w:sz w:val="16"/>
          <w:szCs w:val="16"/>
          <w:lang w:eastAsia="fr-FR"/>
        </w:rPr>
        <w:t>Bas du formulaire</w:t>
      </w:r>
    </w:p>
    <w:p w:rsidR="009E4998" w:rsidRPr="009E4998" w:rsidRDefault="009E4998" w:rsidP="00203810">
      <w:pPr>
        <w:shd w:val="clear" w:color="auto" w:fill="F5F5F5"/>
        <w:ind w:right="-135"/>
        <w:jc w:val="both"/>
        <w:rPr>
          <w:rFonts w:eastAsia="Times New Roman" w:cs="Times New Roman"/>
          <w:b/>
          <w:bCs/>
          <w:color w:val="555555"/>
          <w:sz w:val="21"/>
          <w:szCs w:val="21"/>
          <w:lang w:eastAsia="fr-FR"/>
        </w:rPr>
      </w:pPr>
      <w:bookmarkStart w:id="1" w:name="pagination_article_rubrique_numerotes"/>
      <w:bookmarkEnd w:id="1"/>
    </w:p>
    <w:p w:rsidR="00771464" w:rsidRPr="00203810" w:rsidRDefault="008F2200" w:rsidP="00203810">
      <w:pPr>
        <w:jc w:val="both"/>
      </w:pPr>
    </w:p>
    <w:sectPr w:rsidR="00771464" w:rsidRPr="00203810" w:rsidSect="00BD7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B78DF"/>
    <w:multiLevelType w:val="multilevel"/>
    <w:tmpl w:val="BB6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E16F7"/>
    <w:multiLevelType w:val="multilevel"/>
    <w:tmpl w:val="59A0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98"/>
    <w:rsid w:val="0015413F"/>
    <w:rsid w:val="00203810"/>
    <w:rsid w:val="002B4C14"/>
    <w:rsid w:val="00681346"/>
    <w:rsid w:val="008B4CE1"/>
    <w:rsid w:val="008F2200"/>
    <w:rsid w:val="009E4998"/>
    <w:rsid w:val="00AB54BF"/>
    <w:rsid w:val="00AE685F"/>
    <w:rsid w:val="00B62BA0"/>
    <w:rsid w:val="00BD760F"/>
    <w:rsid w:val="00C1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353C"/>
  <w14:defaultImageDpi w14:val="32767"/>
  <w15:chartTrackingRefBased/>
  <w15:docId w15:val="{A8E2E2F2-A66B-4241-9B55-BAC5010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E49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499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E499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E499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E499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E499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menu-entree">
    <w:name w:val="menu-entree"/>
    <w:basedOn w:val="Normal"/>
    <w:rsid w:val="009E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4998"/>
    <w:rPr>
      <w:color w:val="0000FF"/>
      <w:u w:val="single"/>
    </w:rPr>
  </w:style>
  <w:style w:type="character" w:customStyle="1" w:styleId="textelibre">
    <w:name w:val="texte_libre"/>
    <w:basedOn w:val="Policepardfaut"/>
    <w:rsid w:val="009E4998"/>
  </w:style>
  <w:style w:type="paragraph" w:customStyle="1" w:styleId="nav-header">
    <w:name w:val="nav-header"/>
    <w:basedOn w:val="Normal"/>
    <w:rsid w:val="009E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on">
    <w:name w:val="on"/>
    <w:basedOn w:val="Normal"/>
    <w:rsid w:val="009E4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21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8724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51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9772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480609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  <w:div w:id="173349898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  <w:divsChild>
                <w:div w:id="1136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182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891A92-AB0F-364D-A8C1-C391AB5E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wallbom</dc:creator>
  <cp:keywords/>
  <dc:description/>
  <cp:lastModifiedBy>patrik wallbom</cp:lastModifiedBy>
  <cp:revision>1</cp:revision>
  <cp:lastPrinted>2018-06-25T11:13:00Z</cp:lastPrinted>
  <dcterms:created xsi:type="dcterms:W3CDTF">2018-06-25T08:05:00Z</dcterms:created>
  <dcterms:modified xsi:type="dcterms:W3CDTF">2018-06-25T11:19:00Z</dcterms:modified>
</cp:coreProperties>
</file>