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AE56" w14:textId="77777777" w:rsidR="008517C1" w:rsidRPr="00F15E78" w:rsidRDefault="008517C1" w:rsidP="008517C1">
      <w:pPr>
        <w:pStyle w:val="NormalWeb"/>
        <w:spacing w:before="120" w:beforeAutospacing="0" w:after="0" w:afterAutospacing="0"/>
        <w:ind w:left="170" w:right="170"/>
        <w:jc w:val="both"/>
        <w:rPr>
          <w:rFonts w:asciiTheme="minorHAnsi" w:hAnsiTheme="minorHAnsi"/>
          <w:b/>
          <w:sz w:val="22"/>
          <w:szCs w:val="22"/>
          <w:highlight w:val="yellow"/>
        </w:rPr>
      </w:pPr>
      <w:r w:rsidRPr="00F15E78">
        <w:rPr>
          <w:rFonts w:asciiTheme="minorHAnsi" w:hAnsiTheme="minorHAnsi"/>
          <w:b/>
          <w:sz w:val="22"/>
          <w:szCs w:val="22"/>
          <w:highlight w:val="yellow"/>
        </w:rPr>
        <w:t>Nom / Prénom</w:t>
      </w:r>
      <w:r w:rsidRPr="00F15E78">
        <w:rPr>
          <w:rFonts w:asciiTheme="minorHAnsi" w:hAnsiTheme="minorHAnsi"/>
          <w:b/>
          <w:sz w:val="22"/>
          <w:szCs w:val="22"/>
          <w:highlight w:val="yellow"/>
        </w:rPr>
        <w:tab/>
      </w:r>
      <w:r w:rsidRPr="00F15E78">
        <w:rPr>
          <w:rFonts w:asciiTheme="minorHAnsi" w:hAnsiTheme="minorHAnsi"/>
          <w:b/>
          <w:sz w:val="22"/>
          <w:szCs w:val="22"/>
          <w:highlight w:val="yellow"/>
        </w:rPr>
        <w:tab/>
      </w:r>
      <w:r w:rsidRPr="00F15E78">
        <w:rPr>
          <w:rFonts w:asciiTheme="minorHAnsi" w:hAnsiTheme="minorHAnsi"/>
          <w:b/>
          <w:sz w:val="22"/>
          <w:szCs w:val="22"/>
          <w:highlight w:val="yellow"/>
        </w:rPr>
        <w:tab/>
      </w:r>
      <w:r w:rsidRPr="00F15E78">
        <w:rPr>
          <w:rFonts w:asciiTheme="minorHAnsi" w:hAnsiTheme="minorHAnsi"/>
          <w:b/>
          <w:sz w:val="22"/>
          <w:szCs w:val="22"/>
          <w:highlight w:val="yellow"/>
        </w:rPr>
        <w:tab/>
      </w:r>
      <w:r w:rsidRPr="00F15E78">
        <w:rPr>
          <w:rFonts w:asciiTheme="minorHAnsi" w:hAnsiTheme="minorHAnsi"/>
          <w:b/>
          <w:sz w:val="22"/>
          <w:szCs w:val="22"/>
          <w:highlight w:val="yellow"/>
        </w:rPr>
        <w:tab/>
      </w:r>
      <w:r w:rsidRPr="00F15E78">
        <w:rPr>
          <w:rFonts w:asciiTheme="minorHAnsi" w:hAnsiTheme="minorHAnsi"/>
          <w:b/>
          <w:sz w:val="22"/>
          <w:szCs w:val="22"/>
          <w:highlight w:val="yellow"/>
        </w:rPr>
        <w:tab/>
      </w:r>
    </w:p>
    <w:p w14:paraId="4CB8FDDF" w14:textId="77777777" w:rsidR="008517C1" w:rsidRPr="00F15E78" w:rsidRDefault="008517C1" w:rsidP="008517C1">
      <w:pPr>
        <w:pStyle w:val="NormalWeb"/>
        <w:spacing w:before="120" w:beforeAutospacing="0" w:after="0" w:afterAutospacing="0"/>
        <w:ind w:left="170" w:right="170"/>
        <w:jc w:val="both"/>
        <w:rPr>
          <w:rFonts w:asciiTheme="minorHAnsi" w:hAnsiTheme="minorHAnsi"/>
          <w:b/>
          <w:sz w:val="22"/>
          <w:szCs w:val="22"/>
          <w:highlight w:val="yellow"/>
        </w:rPr>
      </w:pPr>
      <w:r w:rsidRPr="00F15E78">
        <w:rPr>
          <w:rFonts w:asciiTheme="minorHAnsi" w:hAnsiTheme="minorHAnsi"/>
          <w:b/>
          <w:sz w:val="22"/>
          <w:szCs w:val="22"/>
          <w:highlight w:val="yellow"/>
        </w:rPr>
        <w:t>Directrice / directeur adjoint(e) chargé(e)</w:t>
      </w:r>
      <w:r w:rsidRPr="00F15E78">
        <w:rPr>
          <w:rFonts w:asciiTheme="minorHAnsi" w:hAnsiTheme="minorHAnsi"/>
          <w:b/>
          <w:color w:val="FF0000"/>
          <w:sz w:val="22"/>
          <w:szCs w:val="22"/>
          <w:highlight w:val="yellow"/>
        </w:rPr>
        <w:t xml:space="preserve"> </w:t>
      </w:r>
      <w:r w:rsidRPr="00F15E78">
        <w:rPr>
          <w:rFonts w:asciiTheme="minorHAnsi" w:hAnsiTheme="minorHAnsi"/>
          <w:b/>
          <w:sz w:val="22"/>
          <w:szCs w:val="22"/>
          <w:highlight w:val="yellow"/>
        </w:rPr>
        <w:t>de SEGPA</w:t>
      </w:r>
    </w:p>
    <w:p w14:paraId="6FF02BAD" w14:textId="77777777" w:rsidR="008517C1" w:rsidRDefault="008517C1" w:rsidP="008517C1">
      <w:pPr>
        <w:pStyle w:val="NormalWeb"/>
        <w:spacing w:before="120" w:beforeAutospacing="0" w:after="0" w:afterAutospacing="0"/>
        <w:ind w:left="170" w:right="170"/>
        <w:jc w:val="both"/>
        <w:rPr>
          <w:rFonts w:asciiTheme="minorHAnsi" w:hAnsiTheme="minorHAnsi"/>
          <w:b/>
          <w:sz w:val="22"/>
          <w:szCs w:val="22"/>
        </w:rPr>
      </w:pPr>
      <w:r w:rsidRPr="00F15E78">
        <w:rPr>
          <w:rFonts w:asciiTheme="minorHAnsi" w:hAnsiTheme="minorHAnsi"/>
          <w:b/>
          <w:sz w:val="22"/>
          <w:szCs w:val="22"/>
          <w:highlight w:val="yellow"/>
        </w:rPr>
        <w:t>Etablissement d’exercice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p w14:paraId="6BC8799E" w14:textId="77777777" w:rsidR="008517C1" w:rsidRDefault="008517C1" w:rsidP="008517C1">
      <w:pPr>
        <w:pStyle w:val="NormalWeb"/>
        <w:spacing w:before="120" w:beforeAutospacing="0" w:after="0" w:afterAutospacing="0"/>
        <w:ind w:left="5664" w:right="170" w:firstLine="11"/>
        <w:rPr>
          <w:rFonts w:asciiTheme="minorHAnsi" w:hAnsiTheme="minorHAnsi"/>
          <w:b/>
          <w:sz w:val="22"/>
          <w:szCs w:val="22"/>
        </w:rPr>
      </w:pPr>
      <w:r>
        <w:rPr>
          <w:rFonts w:asciiTheme="minorHAnsi" w:hAnsiTheme="minorHAnsi"/>
          <w:b/>
          <w:sz w:val="22"/>
          <w:szCs w:val="22"/>
        </w:rPr>
        <w:t>A  Madame Valérie Cabuil,  Rectrice de l’Académie de Lille</w:t>
      </w:r>
    </w:p>
    <w:p w14:paraId="04EE804A" w14:textId="132D33EB" w:rsidR="008517C1" w:rsidRDefault="008517C1" w:rsidP="00E51AC4">
      <w:pPr>
        <w:pStyle w:val="NormalWeb"/>
        <w:spacing w:before="0" w:beforeAutospacing="0" w:after="0" w:afterAutospacing="0"/>
        <w:ind w:left="5664" w:right="170" w:firstLine="11"/>
        <w:rPr>
          <w:rFonts w:asciiTheme="minorHAnsi" w:hAnsiTheme="minorHAnsi"/>
          <w:b/>
          <w:sz w:val="22"/>
          <w:szCs w:val="22"/>
        </w:rPr>
      </w:pPr>
      <w:r>
        <w:rPr>
          <w:rFonts w:asciiTheme="minorHAnsi" w:hAnsiTheme="minorHAnsi"/>
          <w:b/>
          <w:sz w:val="22"/>
          <w:szCs w:val="22"/>
        </w:rPr>
        <w:t xml:space="preserve">S/C de Monsieur </w:t>
      </w:r>
      <w:r w:rsidR="00644A54">
        <w:rPr>
          <w:rFonts w:asciiTheme="minorHAnsi" w:hAnsiTheme="minorHAnsi"/>
          <w:b/>
          <w:sz w:val="22"/>
          <w:szCs w:val="22"/>
        </w:rPr>
        <w:t xml:space="preserve">Jean Yves </w:t>
      </w:r>
      <w:r>
        <w:rPr>
          <w:rFonts w:asciiTheme="minorHAnsi" w:hAnsiTheme="minorHAnsi"/>
          <w:b/>
          <w:sz w:val="22"/>
          <w:szCs w:val="22"/>
        </w:rPr>
        <w:t xml:space="preserve">Bessol </w:t>
      </w:r>
    </w:p>
    <w:p w14:paraId="4CBC3AEC" w14:textId="77777777" w:rsidR="008517C1" w:rsidRDefault="008517C1" w:rsidP="00E51AC4">
      <w:pPr>
        <w:pStyle w:val="NormalWeb"/>
        <w:spacing w:before="0" w:beforeAutospacing="0" w:after="0" w:afterAutospacing="0"/>
        <w:ind w:left="5664" w:right="170" w:firstLine="11"/>
        <w:rPr>
          <w:rFonts w:asciiTheme="minorHAnsi" w:hAnsiTheme="minorHAnsi"/>
          <w:b/>
          <w:sz w:val="22"/>
          <w:szCs w:val="22"/>
        </w:rPr>
      </w:pPr>
      <w:r>
        <w:rPr>
          <w:rFonts w:asciiTheme="minorHAnsi" w:hAnsiTheme="minorHAnsi"/>
          <w:b/>
          <w:sz w:val="22"/>
          <w:szCs w:val="22"/>
        </w:rPr>
        <w:t>IA-DASEN du Nord</w:t>
      </w:r>
    </w:p>
    <w:p w14:paraId="6C2D57BC" w14:textId="77777777" w:rsidR="008517C1" w:rsidRDefault="008517C1" w:rsidP="008517C1">
      <w:pPr>
        <w:pStyle w:val="NormalWeb"/>
        <w:spacing w:before="120" w:beforeAutospacing="0" w:after="0" w:afterAutospacing="0"/>
        <w:ind w:left="5126" w:right="170" w:firstLine="538"/>
        <w:jc w:val="both"/>
        <w:rPr>
          <w:rFonts w:asciiTheme="minorHAnsi" w:hAnsiTheme="minorHAnsi"/>
          <w:b/>
          <w:sz w:val="22"/>
          <w:szCs w:val="22"/>
        </w:rPr>
      </w:pPr>
    </w:p>
    <w:p w14:paraId="228BA5A2" w14:textId="77777777" w:rsidR="008517C1" w:rsidRDefault="008517C1" w:rsidP="008517C1">
      <w:pPr>
        <w:pStyle w:val="NormalWeb"/>
        <w:spacing w:before="120" w:beforeAutospacing="0" w:after="0" w:afterAutospacing="0"/>
        <w:ind w:left="5126" w:right="170" w:firstLine="538"/>
        <w:jc w:val="both"/>
        <w:rPr>
          <w:rFonts w:asciiTheme="minorHAnsi" w:hAnsiTheme="minorHAnsi"/>
          <w:b/>
          <w:sz w:val="22"/>
          <w:szCs w:val="22"/>
        </w:rPr>
      </w:pPr>
      <w:r w:rsidRPr="00F15E78">
        <w:rPr>
          <w:rFonts w:asciiTheme="minorHAnsi" w:hAnsiTheme="minorHAnsi"/>
          <w:b/>
          <w:sz w:val="22"/>
          <w:szCs w:val="22"/>
          <w:highlight w:val="yellow"/>
        </w:rPr>
        <w:t>Lieu, date 2023</w:t>
      </w:r>
    </w:p>
    <w:p w14:paraId="625E05B3" w14:textId="77777777" w:rsidR="008517C1" w:rsidRDefault="008517C1" w:rsidP="008517C1">
      <w:pPr>
        <w:pStyle w:val="NormalWeb"/>
        <w:spacing w:before="120" w:beforeAutospacing="0" w:after="0" w:afterAutospacing="0"/>
        <w:ind w:left="170" w:right="170"/>
        <w:jc w:val="both"/>
        <w:rPr>
          <w:rFonts w:asciiTheme="minorHAnsi" w:hAnsiTheme="minorHAnsi"/>
          <w:b/>
          <w:sz w:val="22"/>
          <w:szCs w:val="22"/>
        </w:rPr>
      </w:pPr>
    </w:p>
    <w:p w14:paraId="4C0D99AA" w14:textId="77777777" w:rsidR="008517C1" w:rsidRDefault="008517C1" w:rsidP="008517C1">
      <w:pPr>
        <w:pStyle w:val="NormalWeb"/>
        <w:spacing w:before="120" w:beforeAutospacing="0" w:after="0" w:afterAutospacing="0"/>
        <w:ind w:left="170" w:right="170"/>
        <w:jc w:val="both"/>
        <w:rPr>
          <w:rFonts w:asciiTheme="minorHAnsi" w:hAnsiTheme="minorHAnsi"/>
          <w:b/>
          <w:sz w:val="22"/>
          <w:szCs w:val="22"/>
        </w:rPr>
      </w:pPr>
    </w:p>
    <w:p w14:paraId="40CCEF57" w14:textId="6E497857" w:rsidR="008517C1" w:rsidRDefault="008517C1" w:rsidP="008517C1">
      <w:pPr>
        <w:pStyle w:val="NormalWeb"/>
        <w:spacing w:before="120" w:beforeAutospacing="0" w:after="0" w:afterAutospacing="0"/>
        <w:ind w:left="170" w:right="170"/>
        <w:jc w:val="both"/>
        <w:rPr>
          <w:rFonts w:asciiTheme="minorHAnsi" w:hAnsiTheme="minorHAnsi"/>
          <w:b/>
          <w:sz w:val="22"/>
          <w:szCs w:val="22"/>
        </w:rPr>
      </w:pPr>
      <w:r>
        <w:rPr>
          <w:rFonts w:asciiTheme="minorHAnsi" w:hAnsiTheme="minorHAnsi"/>
          <w:b/>
          <w:sz w:val="22"/>
          <w:szCs w:val="22"/>
        </w:rPr>
        <w:t xml:space="preserve">Objet : </w:t>
      </w:r>
      <w:r w:rsidR="00566C02">
        <w:rPr>
          <w:rFonts w:asciiTheme="minorHAnsi" w:hAnsiTheme="minorHAnsi"/>
          <w:b/>
          <w:sz w:val="22"/>
          <w:szCs w:val="22"/>
        </w:rPr>
        <w:t>demande de réévaluation</w:t>
      </w:r>
      <w:r>
        <w:rPr>
          <w:rFonts w:asciiTheme="minorHAnsi" w:hAnsiTheme="minorHAnsi"/>
          <w:b/>
          <w:sz w:val="22"/>
          <w:szCs w:val="22"/>
        </w:rPr>
        <w:t xml:space="preserve"> concernant la décision administrative du 28 février 2023, ayant pour objet la Bonification Indiciaire des Directeurs Adjoints de SEGPA.</w:t>
      </w:r>
    </w:p>
    <w:p w14:paraId="1106BB9E" w14:textId="77777777" w:rsidR="008517C1" w:rsidRDefault="008517C1" w:rsidP="008517C1">
      <w:pPr>
        <w:pStyle w:val="NormalWeb"/>
        <w:spacing w:before="120" w:beforeAutospacing="0" w:after="0" w:afterAutospacing="0"/>
        <w:ind w:left="170" w:right="170"/>
        <w:jc w:val="both"/>
        <w:rPr>
          <w:rFonts w:asciiTheme="minorHAnsi" w:hAnsiTheme="minorHAnsi"/>
          <w:b/>
          <w:sz w:val="22"/>
          <w:szCs w:val="22"/>
        </w:rPr>
      </w:pPr>
    </w:p>
    <w:p w14:paraId="4A585C2A" w14:textId="77777777" w:rsidR="008517C1" w:rsidRDefault="008517C1" w:rsidP="008517C1">
      <w:pPr>
        <w:pStyle w:val="NormalWeb"/>
        <w:spacing w:before="120" w:beforeAutospacing="0" w:after="0" w:afterAutospacing="0"/>
        <w:ind w:left="170" w:right="170"/>
        <w:jc w:val="both"/>
        <w:rPr>
          <w:rFonts w:asciiTheme="minorHAnsi" w:hAnsiTheme="minorHAnsi"/>
          <w:b/>
          <w:sz w:val="22"/>
          <w:szCs w:val="22"/>
        </w:rPr>
      </w:pPr>
    </w:p>
    <w:p w14:paraId="3AD480D7" w14:textId="77777777" w:rsidR="008517C1" w:rsidRDefault="008517C1" w:rsidP="004E7376">
      <w:pPr>
        <w:pStyle w:val="NormalWeb"/>
        <w:spacing w:before="120" w:beforeAutospacing="0" w:after="0" w:afterAutospacing="0"/>
        <w:ind w:right="170"/>
        <w:jc w:val="both"/>
        <w:rPr>
          <w:rFonts w:asciiTheme="minorHAnsi" w:hAnsiTheme="minorHAnsi"/>
          <w:b/>
          <w:sz w:val="22"/>
          <w:szCs w:val="22"/>
        </w:rPr>
      </w:pPr>
      <w:r>
        <w:rPr>
          <w:rFonts w:asciiTheme="minorHAnsi" w:hAnsiTheme="minorHAnsi"/>
          <w:b/>
          <w:sz w:val="22"/>
          <w:szCs w:val="22"/>
        </w:rPr>
        <w:t>Madame la Rectrice,</w:t>
      </w:r>
    </w:p>
    <w:p w14:paraId="1C10673B" w14:textId="77777777" w:rsidR="00047411" w:rsidRDefault="00047411"/>
    <w:p w14:paraId="0803531B" w14:textId="1867AFB8" w:rsidR="00075210" w:rsidRDefault="00F41286" w:rsidP="00B314C3">
      <w:pPr>
        <w:spacing w:line="240" w:lineRule="auto"/>
        <w:jc w:val="both"/>
        <w:rPr>
          <w:rFonts w:ascii="Calibri" w:hAnsi="Calibri" w:cs="Calibri"/>
        </w:rPr>
      </w:pPr>
      <w:r w:rsidRPr="00BD51B2">
        <w:rPr>
          <w:rFonts w:ascii="Calibri" w:hAnsi="Calibri" w:cs="Calibri"/>
        </w:rPr>
        <w:t xml:space="preserve">J'ai été destinataire le 28 février 2023, d’un courrier concernant la bonification indiciaire des Directeurs adjoints de Segpa, de la part de Monsieur </w:t>
      </w:r>
      <w:r w:rsidR="00B314C3" w:rsidRPr="009A283C">
        <w:rPr>
          <w:rFonts w:ascii="Calibri" w:hAnsi="Calibri" w:cs="Calibri"/>
        </w:rPr>
        <w:t>Jean-Yves Bessol</w:t>
      </w:r>
      <w:r w:rsidR="00B314C3">
        <w:rPr>
          <w:rFonts w:ascii="Calibri" w:hAnsi="Calibri" w:cs="Calibri"/>
        </w:rPr>
        <w:t xml:space="preserve">, </w:t>
      </w:r>
      <w:r w:rsidRPr="00BD51B2">
        <w:rPr>
          <w:rFonts w:ascii="Calibri" w:hAnsi="Calibri" w:cs="Calibri"/>
        </w:rPr>
        <w:t>Inspecteur d'Académie</w:t>
      </w:r>
      <w:r w:rsidR="00B314C3">
        <w:rPr>
          <w:rFonts w:ascii="Calibri" w:hAnsi="Calibri" w:cs="Calibri"/>
        </w:rPr>
        <w:t>/</w:t>
      </w:r>
      <w:r w:rsidRPr="00BD51B2">
        <w:rPr>
          <w:rFonts w:ascii="Calibri" w:hAnsi="Calibri" w:cs="Calibri"/>
        </w:rPr>
        <w:t>DASEN du Nord</w:t>
      </w:r>
      <w:r w:rsidR="00B314C3">
        <w:rPr>
          <w:rFonts w:ascii="Calibri" w:hAnsi="Calibri" w:cs="Calibri"/>
        </w:rPr>
        <w:t>.</w:t>
      </w:r>
      <w:r w:rsidRPr="00BD51B2">
        <w:rPr>
          <w:rFonts w:ascii="Calibri" w:hAnsi="Calibri" w:cs="Calibri"/>
        </w:rPr>
        <w:t xml:space="preserve"> </w:t>
      </w:r>
    </w:p>
    <w:p w14:paraId="61167160" w14:textId="1B9E85CB" w:rsidR="00B314C3" w:rsidRDefault="00075210" w:rsidP="00B314C3">
      <w:pPr>
        <w:spacing w:line="240" w:lineRule="auto"/>
        <w:jc w:val="both"/>
        <w:rPr>
          <w:rFonts w:ascii="Calibri" w:hAnsi="Calibri" w:cs="Calibri"/>
        </w:rPr>
      </w:pPr>
      <w:r>
        <w:rPr>
          <w:rFonts w:ascii="Calibri" w:hAnsi="Calibri" w:cs="Calibri"/>
        </w:rPr>
        <w:t xml:space="preserve">Dans ce courrier, </w:t>
      </w:r>
      <w:r w:rsidR="00B314C3" w:rsidRPr="009A283C">
        <w:rPr>
          <w:rFonts w:ascii="Calibri" w:hAnsi="Calibri" w:cs="Calibri"/>
        </w:rPr>
        <w:t xml:space="preserve">on m’informe </w:t>
      </w:r>
      <w:r w:rsidR="00F41286" w:rsidRPr="00BD51B2">
        <w:rPr>
          <w:rFonts w:ascii="Calibri" w:hAnsi="Calibri" w:cs="Calibri"/>
        </w:rPr>
        <w:t>qu</w:t>
      </w:r>
      <w:r w:rsidR="00F41286">
        <w:rPr>
          <w:rFonts w:ascii="Calibri" w:hAnsi="Calibri" w:cs="Calibri"/>
        </w:rPr>
        <w:t xml:space="preserve">’un </w:t>
      </w:r>
      <w:r w:rsidR="00F41286" w:rsidRPr="00BD51B2">
        <w:rPr>
          <w:rFonts w:ascii="Calibri" w:hAnsi="Calibri" w:cs="Calibri"/>
        </w:rPr>
        <w:t>décret n°81-487d du 8 mai</w:t>
      </w:r>
      <w:r w:rsidR="00F41286">
        <w:rPr>
          <w:rFonts w:ascii="Calibri" w:hAnsi="Calibri" w:cs="Calibri"/>
        </w:rPr>
        <w:t xml:space="preserve"> </w:t>
      </w:r>
      <w:r w:rsidR="00F41286" w:rsidRPr="00BD51B2">
        <w:rPr>
          <w:rFonts w:ascii="Calibri" w:hAnsi="Calibri" w:cs="Calibri"/>
        </w:rPr>
        <w:t xml:space="preserve">1981 est mis en application à </w:t>
      </w:r>
      <w:r w:rsidR="00B025CF">
        <w:rPr>
          <w:rFonts w:ascii="Calibri" w:hAnsi="Calibri" w:cs="Calibri"/>
        </w:rPr>
        <w:t xml:space="preserve">compter </w:t>
      </w:r>
      <w:r w:rsidR="00F41286" w:rsidRPr="00BD51B2">
        <w:rPr>
          <w:rFonts w:ascii="Calibri" w:hAnsi="Calibri" w:cs="Calibri"/>
        </w:rPr>
        <w:t xml:space="preserve">du mois de février 2023. </w:t>
      </w:r>
      <w:r w:rsidR="0092748C">
        <w:rPr>
          <w:rFonts w:ascii="Calibri" w:hAnsi="Calibri" w:cs="Calibri"/>
        </w:rPr>
        <w:t xml:space="preserve">Dans un premier temps, </w:t>
      </w:r>
      <w:r w:rsidR="00B314C3" w:rsidRPr="009A283C">
        <w:rPr>
          <w:rFonts w:ascii="Calibri" w:hAnsi="Calibri" w:cs="Calibri"/>
        </w:rPr>
        <w:t xml:space="preserve">j’ai été </w:t>
      </w:r>
      <w:r w:rsidR="0092748C">
        <w:rPr>
          <w:rFonts w:ascii="Calibri" w:hAnsi="Calibri" w:cs="Calibri"/>
        </w:rPr>
        <w:t>étonné que cette information arrive à posteriori de l’application</w:t>
      </w:r>
      <w:r w:rsidR="00B314C3">
        <w:rPr>
          <w:rFonts w:ascii="Calibri" w:hAnsi="Calibri" w:cs="Calibri"/>
        </w:rPr>
        <w:t xml:space="preserve"> </w:t>
      </w:r>
      <w:r w:rsidR="00B314C3" w:rsidRPr="009A283C">
        <w:rPr>
          <w:rFonts w:ascii="Calibri" w:hAnsi="Calibri" w:cs="Calibri"/>
        </w:rPr>
        <w:t xml:space="preserve">du décret dont la mise en </w:t>
      </w:r>
      <w:r w:rsidR="00A66168" w:rsidRPr="009A283C">
        <w:rPr>
          <w:rFonts w:ascii="Calibri" w:hAnsi="Calibri" w:cs="Calibri"/>
        </w:rPr>
        <w:t>œuvre</w:t>
      </w:r>
      <w:r w:rsidR="0092748C" w:rsidRPr="009A283C">
        <w:rPr>
          <w:rFonts w:ascii="Calibri" w:hAnsi="Calibri" w:cs="Calibri"/>
        </w:rPr>
        <w:t xml:space="preserve"> </w:t>
      </w:r>
      <w:r w:rsidR="00F41286" w:rsidRPr="00BD51B2">
        <w:rPr>
          <w:rFonts w:ascii="Calibri" w:hAnsi="Calibri" w:cs="Calibri"/>
        </w:rPr>
        <w:t xml:space="preserve">impacte </w:t>
      </w:r>
      <w:r w:rsidR="0045556A">
        <w:rPr>
          <w:rFonts w:ascii="Calibri" w:hAnsi="Calibri" w:cs="Calibri"/>
        </w:rPr>
        <w:t xml:space="preserve">dès à présent </w:t>
      </w:r>
      <w:r w:rsidR="00F41286" w:rsidRPr="00BD51B2">
        <w:rPr>
          <w:rFonts w:ascii="Calibri" w:hAnsi="Calibri" w:cs="Calibri"/>
        </w:rPr>
        <w:t xml:space="preserve">le montant de la pension de retraite des directeurs </w:t>
      </w:r>
      <w:r w:rsidR="00B314C3">
        <w:rPr>
          <w:rFonts w:ascii="Calibri" w:hAnsi="Calibri" w:cs="Calibri"/>
        </w:rPr>
        <w:t>adjoints de SEGPA</w:t>
      </w:r>
      <w:r w:rsidR="00397067">
        <w:rPr>
          <w:rFonts w:ascii="Calibri" w:hAnsi="Calibri" w:cs="Calibri"/>
        </w:rPr>
        <w:t>.</w:t>
      </w:r>
    </w:p>
    <w:p w14:paraId="2A84D7C8" w14:textId="4F0E50FF" w:rsidR="00F41286" w:rsidRDefault="00B314C3" w:rsidP="00B314C3">
      <w:pPr>
        <w:spacing w:line="240" w:lineRule="auto"/>
        <w:jc w:val="both"/>
        <w:rPr>
          <w:rFonts w:ascii="Calibri" w:hAnsi="Calibri" w:cs="Calibri"/>
        </w:rPr>
      </w:pPr>
      <w:r w:rsidRPr="009A283C">
        <w:rPr>
          <w:rFonts w:ascii="Calibri" w:hAnsi="Calibri" w:cs="Calibri"/>
        </w:rPr>
        <w:t>En effet, il</w:t>
      </w:r>
      <w:r w:rsidR="009A283C" w:rsidRPr="009A283C">
        <w:rPr>
          <w:rFonts w:ascii="Calibri" w:hAnsi="Calibri" w:cs="Calibri"/>
        </w:rPr>
        <w:t xml:space="preserve"> </w:t>
      </w:r>
      <w:r w:rsidR="00F41286" w:rsidRPr="00BD51B2">
        <w:rPr>
          <w:rFonts w:ascii="Calibri" w:hAnsi="Calibri" w:cs="Calibri"/>
        </w:rPr>
        <w:t xml:space="preserve">n'est plus possible d'accéder en fin de carrière à un indice supérieur à 972, alors que jusqu'à aujourd'hui, on pouvait </w:t>
      </w:r>
      <w:r w:rsidR="00F41286">
        <w:rPr>
          <w:rFonts w:ascii="Calibri" w:hAnsi="Calibri" w:cs="Calibri"/>
        </w:rPr>
        <w:t xml:space="preserve">espérer accéder à l'indice 1022 en achevant la carrière avec le titre de Directeur de Segpa au 3è chevron de la classe exceptionnelle. </w:t>
      </w:r>
      <w:r w:rsidRPr="009A283C">
        <w:rPr>
          <w:rFonts w:ascii="Calibri" w:hAnsi="Calibri" w:cs="Calibri"/>
        </w:rPr>
        <w:t xml:space="preserve">La </w:t>
      </w:r>
      <w:r w:rsidR="00F41286">
        <w:rPr>
          <w:rFonts w:ascii="Calibri" w:hAnsi="Calibri" w:cs="Calibri"/>
        </w:rPr>
        <w:t xml:space="preserve">décision de transformer les </w:t>
      </w:r>
      <w:r w:rsidR="00F41286" w:rsidRPr="00BD51B2">
        <w:rPr>
          <w:rFonts w:ascii="Calibri" w:hAnsi="Calibri" w:cs="Calibri"/>
        </w:rPr>
        <w:t>50 points de bonification indiciaire</w:t>
      </w:r>
      <w:r w:rsidR="00F41286">
        <w:rPr>
          <w:rFonts w:ascii="Calibri" w:hAnsi="Calibri" w:cs="Calibri"/>
        </w:rPr>
        <w:t xml:space="preserve"> en simple prime a</w:t>
      </w:r>
      <w:r w:rsidR="009449F0">
        <w:rPr>
          <w:rFonts w:ascii="Calibri" w:hAnsi="Calibri" w:cs="Calibri"/>
        </w:rPr>
        <w:t>ura</w:t>
      </w:r>
      <w:r w:rsidR="00F41286">
        <w:rPr>
          <w:rFonts w:ascii="Calibri" w:hAnsi="Calibri" w:cs="Calibri"/>
        </w:rPr>
        <w:t xml:space="preserve"> pour effet </w:t>
      </w:r>
      <w:r w:rsidR="00F41286" w:rsidRPr="00BD51B2">
        <w:rPr>
          <w:rFonts w:ascii="Calibri" w:hAnsi="Calibri" w:cs="Calibri"/>
        </w:rPr>
        <w:t>une perte sèche d</w:t>
      </w:r>
      <w:r w:rsidR="009449F0">
        <w:rPr>
          <w:rFonts w:ascii="Calibri" w:hAnsi="Calibri" w:cs="Calibri"/>
        </w:rPr>
        <w:t xml:space="preserve">’environ </w:t>
      </w:r>
      <w:r w:rsidR="00F41286" w:rsidRPr="00BD51B2">
        <w:rPr>
          <w:rFonts w:ascii="Calibri" w:hAnsi="Calibri" w:cs="Calibri"/>
        </w:rPr>
        <w:t>18</w:t>
      </w:r>
      <w:r w:rsidR="009449F0">
        <w:rPr>
          <w:rFonts w:ascii="Calibri" w:hAnsi="Calibri" w:cs="Calibri"/>
        </w:rPr>
        <w:t>3</w:t>
      </w:r>
      <w:r w:rsidR="00F41286" w:rsidRPr="00BD51B2">
        <w:rPr>
          <w:rFonts w:ascii="Calibri" w:hAnsi="Calibri" w:cs="Calibri"/>
        </w:rPr>
        <w:t xml:space="preserve">€ de net mensuel sur la pension </w:t>
      </w:r>
      <w:r w:rsidR="00F41286">
        <w:rPr>
          <w:rFonts w:ascii="Calibri" w:hAnsi="Calibri" w:cs="Calibri"/>
        </w:rPr>
        <w:t>à venir</w:t>
      </w:r>
      <w:r w:rsidR="00F41286" w:rsidRPr="00BD51B2">
        <w:rPr>
          <w:rFonts w:ascii="Calibri" w:hAnsi="Calibri" w:cs="Calibri"/>
        </w:rPr>
        <w:t xml:space="preserve"> pour les directeurs de S</w:t>
      </w:r>
      <w:r w:rsidR="00A66168">
        <w:rPr>
          <w:rFonts w:ascii="Calibri" w:hAnsi="Calibri" w:cs="Calibri"/>
        </w:rPr>
        <w:t>EGPA</w:t>
      </w:r>
      <w:r w:rsidR="00F41286" w:rsidRPr="00BD51B2">
        <w:rPr>
          <w:rFonts w:ascii="Calibri" w:hAnsi="Calibri" w:cs="Calibri"/>
        </w:rPr>
        <w:t xml:space="preserve"> concernés.</w:t>
      </w:r>
    </w:p>
    <w:p w14:paraId="48AB7DF9" w14:textId="4C0F0EC7" w:rsidR="004B1648" w:rsidRDefault="004B1648" w:rsidP="00B314C3">
      <w:pPr>
        <w:spacing w:line="240" w:lineRule="auto"/>
        <w:jc w:val="both"/>
        <w:rPr>
          <w:rFonts w:ascii="Calibri" w:hAnsi="Calibri" w:cs="Calibri"/>
        </w:rPr>
      </w:pPr>
      <w:r>
        <w:rPr>
          <w:rFonts w:ascii="Calibri" w:hAnsi="Calibri" w:cs="Calibri"/>
        </w:rPr>
        <w:t xml:space="preserve">Je me </w:t>
      </w:r>
      <w:r w:rsidRPr="009A283C">
        <w:rPr>
          <w:rFonts w:ascii="Calibri" w:hAnsi="Calibri" w:cs="Calibri"/>
        </w:rPr>
        <w:t>permet</w:t>
      </w:r>
      <w:r w:rsidR="00B314C3" w:rsidRPr="009A283C">
        <w:rPr>
          <w:rFonts w:ascii="Calibri" w:hAnsi="Calibri" w:cs="Calibri"/>
        </w:rPr>
        <w:t>s</w:t>
      </w:r>
      <w:r>
        <w:rPr>
          <w:rFonts w:ascii="Calibri" w:hAnsi="Calibri" w:cs="Calibri"/>
        </w:rPr>
        <w:t xml:space="preserve"> donc d’attirer votre attention sur plusieurs points</w:t>
      </w:r>
      <w:r w:rsidR="00C73B8D">
        <w:rPr>
          <w:rFonts w:ascii="Calibri" w:hAnsi="Calibri" w:cs="Calibri"/>
        </w:rPr>
        <w:t xml:space="preserve"> </w:t>
      </w:r>
      <w:r w:rsidR="00B314C3" w:rsidRPr="009A283C">
        <w:rPr>
          <w:rFonts w:ascii="Calibri" w:hAnsi="Calibri" w:cs="Calibri"/>
        </w:rPr>
        <w:t>qu’il</w:t>
      </w:r>
      <w:r w:rsidR="00B314C3">
        <w:rPr>
          <w:rFonts w:ascii="Calibri" w:hAnsi="Calibri" w:cs="Calibri"/>
        </w:rPr>
        <w:t xml:space="preserve"> </w:t>
      </w:r>
      <w:r w:rsidR="00C73B8D">
        <w:rPr>
          <w:rFonts w:ascii="Calibri" w:hAnsi="Calibri" w:cs="Calibri"/>
        </w:rPr>
        <w:t>me semble urgent de prendre en considération :</w:t>
      </w:r>
    </w:p>
    <w:p w14:paraId="57A4868D" w14:textId="77777777" w:rsidR="00443CEA" w:rsidRDefault="00443CEA" w:rsidP="00443CEA">
      <w:pPr>
        <w:pStyle w:val="Paragraphedeliste"/>
        <w:numPr>
          <w:ilvl w:val="0"/>
          <w:numId w:val="1"/>
        </w:numPr>
        <w:spacing w:before="120" w:after="0"/>
        <w:ind w:left="170" w:right="170"/>
        <w:jc w:val="both"/>
        <w:rPr>
          <w:b/>
        </w:rPr>
      </w:pPr>
      <w:r>
        <w:rPr>
          <w:b/>
        </w:rPr>
        <w:t xml:space="preserve">La validité et la pertinence du décret de 1981 au regard de l’évolution réglementaire de 2017. </w:t>
      </w:r>
    </w:p>
    <w:p w14:paraId="5DCAB9D8" w14:textId="01022D61" w:rsidR="00443CEA" w:rsidRDefault="00443CEA" w:rsidP="00443CEA">
      <w:pPr>
        <w:spacing w:before="120" w:after="0"/>
        <w:ind w:left="170" w:right="170"/>
        <w:jc w:val="both"/>
      </w:pPr>
      <w:r>
        <w:t xml:space="preserve">Le décret sur lequel s’appuie </w:t>
      </w:r>
      <w:r w:rsidR="00B238A6">
        <w:t>l’administration pour</w:t>
      </w:r>
      <w:r>
        <w:t xml:space="preserve"> rétrograder des directeurs de SEGPA qui ont atteint un indice supérieur à 972 date de 1981, </w:t>
      </w:r>
      <w:r>
        <w:rPr>
          <w:b/>
        </w:rPr>
        <w:t>époque où la classe exceptionnelle n’existait pas</w:t>
      </w:r>
      <w:r>
        <w:t>. L’échelon le plus haut pour les agrégés en 1981 était</w:t>
      </w:r>
      <w:r w:rsidR="009A283C">
        <w:t xml:space="preserve"> </w:t>
      </w:r>
      <w:r>
        <w:rPr>
          <w:b/>
          <w:i/>
        </w:rPr>
        <w:t>la hors-classe</w:t>
      </w:r>
      <w:r>
        <w:t>. Or, le 1</w:t>
      </w:r>
      <w:r>
        <w:rPr>
          <w:vertAlign w:val="superscript"/>
        </w:rPr>
        <w:t>er</w:t>
      </w:r>
      <w:r>
        <w:t xml:space="preserve"> septembre 2017, </w:t>
      </w:r>
      <w:r>
        <w:rPr>
          <w:b/>
        </w:rPr>
        <w:t>la classe exceptionnelle</w:t>
      </w:r>
      <w:r>
        <w:t xml:space="preserve"> a été instaurée pour tous, afin de créer un nouveau débouché de carrière après </w:t>
      </w:r>
      <w:r w:rsidR="00B314C3">
        <w:t xml:space="preserve">cette </w:t>
      </w:r>
      <w:r>
        <w:t>hors classe, répondant à l’allongement de la durée d’activité.</w:t>
      </w:r>
    </w:p>
    <w:p w14:paraId="45487F84" w14:textId="227425A8"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 xml:space="preserve">N’y a-t-il pas conflit entre les textes réglementaires, du fait que le décret de 1981 fait référence à une grille indiciaire </w:t>
      </w:r>
      <w:r w:rsidR="00E03700">
        <w:rPr>
          <w:rFonts w:asciiTheme="minorHAnsi" w:hAnsiTheme="minorHAnsi"/>
          <w:sz w:val="22"/>
          <w:szCs w:val="22"/>
        </w:rPr>
        <w:t xml:space="preserve">qui </w:t>
      </w:r>
      <w:r w:rsidR="00B314C3" w:rsidRPr="009A283C">
        <w:rPr>
          <w:rFonts w:asciiTheme="minorHAnsi" w:hAnsiTheme="minorHAnsi"/>
          <w:sz w:val="22"/>
          <w:szCs w:val="22"/>
        </w:rPr>
        <w:t xml:space="preserve">a </w:t>
      </w:r>
      <w:r w:rsidR="00B314C3" w:rsidRPr="00402468">
        <w:rPr>
          <w:rFonts w:asciiTheme="minorHAnsi" w:hAnsiTheme="minorHAnsi"/>
          <w:sz w:val="22"/>
          <w:szCs w:val="22"/>
        </w:rPr>
        <w:t xml:space="preserve">évolué </w:t>
      </w:r>
      <w:r w:rsidR="00B314C3" w:rsidRPr="009A283C">
        <w:rPr>
          <w:rFonts w:asciiTheme="minorHAnsi" w:hAnsiTheme="minorHAnsi"/>
          <w:sz w:val="22"/>
          <w:szCs w:val="22"/>
        </w:rPr>
        <w:t xml:space="preserve">et </w:t>
      </w:r>
      <w:r>
        <w:rPr>
          <w:rFonts w:asciiTheme="minorHAnsi" w:hAnsiTheme="minorHAnsi"/>
          <w:sz w:val="22"/>
          <w:szCs w:val="22"/>
        </w:rPr>
        <w:t>qui a été transformée réglementairement au 1</w:t>
      </w:r>
      <w:r w:rsidRPr="009A283C">
        <w:rPr>
          <w:rFonts w:asciiTheme="minorHAnsi" w:hAnsiTheme="minorHAnsi"/>
          <w:sz w:val="22"/>
          <w:szCs w:val="22"/>
        </w:rPr>
        <w:t>er</w:t>
      </w:r>
      <w:r>
        <w:rPr>
          <w:rFonts w:asciiTheme="minorHAnsi" w:hAnsiTheme="minorHAnsi"/>
          <w:sz w:val="22"/>
          <w:szCs w:val="22"/>
        </w:rPr>
        <w:t xml:space="preserve"> septembre 2017 ? </w:t>
      </w:r>
    </w:p>
    <w:p w14:paraId="0950C1F3"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Je me questionne donc sur la différence de traitement entre professeurs de statut identique à priori. N’y a-t-il pas rupture d’égalité ?</w:t>
      </w:r>
    </w:p>
    <w:p w14:paraId="7A2D3654" w14:textId="6BD912A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lastRenderedPageBreak/>
        <w:t xml:space="preserve">Les agrégés </w:t>
      </w:r>
      <w:r w:rsidR="00B314C3" w:rsidRPr="009A283C">
        <w:rPr>
          <w:rFonts w:asciiTheme="minorHAnsi" w:hAnsiTheme="minorHAnsi"/>
          <w:sz w:val="22"/>
          <w:szCs w:val="22"/>
        </w:rPr>
        <w:t xml:space="preserve">ont </w:t>
      </w:r>
      <w:r>
        <w:rPr>
          <w:rFonts w:asciiTheme="minorHAnsi" w:hAnsiTheme="minorHAnsi"/>
          <w:sz w:val="22"/>
          <w:szCs w:val="22"/>
        </w:rPr>
        <w:t xml:space="preserve">droit à tous leurs points d’indice en classe exceptionnelle et les directeurs de SEGPA </w:t>
      </w:r>
      <w:r w:rsidR="00B314C3" w:rsidRPr="009A283C">
        <w:rPr>
          <w:rFonts w:asciiTheme="minorHAnsi" w:hAnsiTheme="minorHAnsi"/>
          <w:sz w:val="22"/>
          <w:szCs w:val="22"/>
        </w:rPr>
        <w:t xml:space="preserve">n’ont </w:t>
      </w:r>
      <w:r>
        <w:rPr>
          <w:rFonts w:asciiTheme="minorHAnsi" w:hAnsiTheme="minorHAnsi"/>
          <w:sz w:val="22"/>
          <w:szCs w:val="22"/>
        </w:rPr>
        <w:t xml:space="preserve">droit </w:t>
      </w:r>
      <w:r w:rsidR="00B314C3" w:rsidRPr="009A283C">
        <w:rPr>
          <w:rFonts w:asciiTheme="minorHAnsi" w:hAnsiTheme="minorHAnsi"/>
          <w:sz w:val="22"/>
          <w:szCs w:val="22"/>
        </w:rPr>
        <w:t>qu’</w:t>
      </w:r>
      <w:r>
        <w:rPr>
          <w:rFonts w:asciiTheme="minorHAnsi" w:hAnsiTheme="minorHAnsi"/>
          <w:sz w:val="22"/>
          <w:szCs w:val="22"/>
        </w:rPr>
        <w:t xml:space="preserve">aux points d’indice correspondant à la hors classe des agrégés compensées par une indemnité non soumise à </w:t>
      </w:r>
      <w:r w:rsidR="00B314C3" w:rsidRPr="009A283C">
        <w:rPr>
          <w:rFonts w:asciiTheme="minorHAnsi" w:hAnsiTheme="minorHAnsi"/>
          <w:sz w:val="22"/>
          <w:szCs w:val="22"/>
        </w:rPr>
        <w:t>calcul</w:t>
      </w:r>
      <w:r w:rsidR="00B314C3">
        <w:rPr>
          <w:rFonts w:asciiTheme="minorHAnsi" w:hAnsiTheme="minorHAnsi"/>
          <w:sz w:val="22"/>
          <w:szCs w:val="22"/>
        </w:rPr>
        <w:t xml:space="preserve"> </w:t>
      </w:r>
      <w:r>
        <w:rPr>
          <w:rFonts w:asciiTheme="minorHAnsi" w:hAnsiTheme="minorHAnsi"/>
          <w:sz w:val="22"/>
          <w:szCs w:val="22"/>
        </w:rPr>
        <w:t>pour pension civile alors qu’ils sont eux aussi à la classe exceptionnelle.</w:t>
      </w:r>
    </w:p>
    <w:p w14:paraId="59EA3F18" w14:textId="77777777" w:rsidR="00B314C3" w:rsidRDefault="00B314C3" w:rsidP="00443CEA">
      <w:pPr>
        <w:pStyle w:val="NormalWeb"/>
        <w:spacing w:before="120" w:beforeAutospacing="0" w:after="0" w:afterAutospacing="0"/>
        <w:ind w:left="170" w:right="170"/>
        <w:jc w:val="both"/>
        <w:rPr>
          <w:rFonts w:asciiTheme="minorHAnsi" w:hAnsiTheme="minorHAnsi"/>
          <w:sz w:val="22"/>
          <w:szCs w:val="22"/>
        </w:rPr>
      </w:pPr>
    </w:p>
    <w:p w14:paraId="338A376B" w14:textId="77777777" w:rsidR="00443CEA" w:rsidRPr="004A5EA9" w:rsidRDefault="00443CEA" w:rsidP="00443CEA">
      <w:pPr>
        <w:pStyle w:val="NormalWeb"/>
        <w:spacing w:before="120" w:beforeAutospacing="0" w:after="0" w:afterAutospacing="0"/>
        <w:ind w:left="170" w:right="170"/>
        <w:jc w:val="both"/>
        <w:rPr>
          <w:rFonts w:asciiTheme="minorHAnsi" w:hAnsiTheme="minorHAnsi"/>
          <w:sz w:val="22"/>
          <w:szCs w:val="22"/>
          <w:u w:val="single"/>
        </w:rPr>
      </w:pPr>
      <w:r w:rsidRPr="004A5EA9">
        <w:rPr>
          <w:rFonts w:asciiTheme="minorHAnsi" w:hAnsiTheme="minorHAnsi"/>
          <w:sz w:val="22"/>
          <w:szCs w:val="22"/>
          <w:u w:val="single"/>
        </w:rPr>
        <w:t xml:space="preserve">Grille agrégés </w:t>
      </w:r>
      <w:r w:rsidRPr="004A5EA9">
        <w:rPr>
          <w:rFonts w:asciiTheme="minorHAnsi" w:hAnsiTheme="minorHAnsi"/>
          <w:b/>
          <w:sz w:val="22"/>
          <w:szCs w:val="22"/>
          <w:u w:val="single"/>
        </w:rPr>
        <w:t>hors classe</w:t>
      </w:r>
      <w:r w:rsidRPr="004A5EA9">
        <w:rPr>
          <w:rFonts w:asciiTheme="minorHAnsi" w:hAnsiTheme="minorHAnsi"/>
          <w:sz w:val="22"/>
          <w:szCs w:val="22"/>
          <w:u w:val="single"/>
        </w:rPr>
        <w:t xml:space="preserve"> juillet 2022</w:t>
      </w:r>
    </w:p>
    <w:p w14:paraId="587CC3EF"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p>
    <w:tbl>
      <w:tblPr>
        <w:tblStyle w:val="Grilledutableau"/>
        <w:tblW w:w="0" w:type="auto"/>
        <w:tblInd w:w="720" w:type="dxa"/>
        <w:tblLook w:val="04A0" w:firstRow="1" w:lastRow="0" w:firstColumn="1" w:lastColumn="0" w:noHBand="0" w:noVBand="1"/>
      </w:tblPr>
      <w:tblGrid>
        <w:gridCol w:w="2142"/>
        <w:gridCol w:w="2142"/>
      </w:tblGrid>
      <w:tr w:rsidR="00443CEA" w14:paraId="7449FA66" w14:textId="77777777" w:rsidTr="00360250">
        <w:tc>
          <w:tcPr>
            <w:tcW w:w="2142" w:type="dxa"/>
            <w:tcBorders>
              <w:top w:val="single" w:sz="4" w:space="0" w:color="auto"/>
              <w:left w:val="single" w:sz="4" w:space="0" w:color="auto"/>
              <w:bottom w:val="single" w:sz="4" w:space="0" w:color="auto"/>
              <w:right w:val="single" w:sz="4" w:space="0" w:color="auto"/>
            </w:tcBorders>
            <w:vAlign w:val="center"/>
            <w:hideMark/>
          </w:tcPr>
          <w:p w14:paraId="45758D47" w14:textId="77777777" w:rsidR="00443CEA" w:rsidRDefault="00443CEA" w:rsidP="00360250">
            <w:pPr>
              <w:spacing w:before="120"/>
              <w:ind w:left="170" w:right="170"/>
              <w:jc w:val="both"/>
              <w:rPr>
                <w:rFonts w:eastAsia="Times New Roman" w:cs="Times New Roman"/>
                <w:b/>
                <w:bCs/>
                <w:lang w:eastAsia="fr-FR"/>
              </w:rPr>
            </w:pPr>
            <w:r>
              <w:rPr>
                <w:rFonts w:eastAsia="Times New Roman" w:cs="Times New Roman"/>
                <w:b/>
                <w:bCs/>
                <w:lang w:eastAsia="fr-FR"/>
              </w:rPr>
              <w:t>Échelon</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9B9B462" w14:textId="77777777" w:rsidR="00443CEA" w:rsidRDefault="00443CEA" w:rsidP="00360250">
            <w:pPr>
              <w:spacing w:before="120"/>
              <w:ind w:left="170" w:right="170"/>
              <w:jc w:val="both"/>
              <w:rPr>
                <w:rFonts w:eastAsia="Times New Roman" w:cs="Times New Roman"/>
                <w:b/>
                <w:bCs/>
                <w:lang w:eastAsia="fr-FR"/>
              </w:rPr>
            </w:pPr>
            <w:r>
              <w:rPr>
                <w:rFonts w:eastAsia="Times New Roman" w:cs="Times New Roman"/>
                <w:b/>
                <w:bCs/>
                <w:lang w:eastAsia="fr-FR"/>
              </w:rPr>
              <w:t>Indice majoré</w:t>
            </w:r>
          </w:p>
        </w:tc>
      </w:tr>
      <w:tr w:rsidR="00443CEA" w14:paraId="17D739C2" w14:textId="77777777" w:rsidTr="00360250">
        <w:tc>
          <w:tcPr>
            <w:tcW w:w="2142" w:type="dxa"/>
            <w:tcBorders>
              <w:top w:val="single" w:sz="4" w:space="0" w:color="auto"/>
              <w:left w:val="single" w:sz="4" w:space="0" w:color="auto"/>
              <w:bottom w:val="single" w:sz="4" w:space="0" w:color="auto"/>
              <w:right w:val="single" w:sz="4" w:space="0" w:color="auto"/>
            </w:tcBorders>
            <w:vAlign w:val="center"/>
            <w:hideMark/>
          </w:tcPr>
          <w:p w14:paraId="55182359"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1</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A10F6C2"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757</w:t>
            </w:r>
          </w:p>
        </w:tc>
      </w:tr>
      <w:tr w:rsidR="00443CEA" w14:paraId="3352BA5F" w14:textId="77777777" w:rsidTr="00360250">
        <w:tc>
          <w:tcPr>
            <w:tcW w:w="2142" w:type="dxa"/>
            <w:tcBorders>
              <w:top w:val="single" w:sz="4" w:space="0" w:color="auto"/>
              <w:left w:val="single" w:sz="4" w:space="0" w:color="auto"/>
              <w:bottom w:val="single" w:sz="4" w:space="0" w:color="auto"/>
              <w:right w:val="single" w:sz="4" w:space="0" w:color="auto"/>
            </w:tcBorders>
            <w:vAlign w:val="center"/>
            <w:hideMark/>
          </w:tcPr>
          <w:p w14:paraId="36CF93AE"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2</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46149A2"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800</w:t>
            </w:r>
          </w:p>
        </w:tc>
      </w:tr>
      <w:tr w:rsidR="00443CEA" w14:paraId="53663805" w14:textId="77777777" w:rsidTr="00360250">
        <w:tc>
          <w:tcPr>
            <w:tcW w:w="2142" w:type="dxa"/>
            <w:tcBorders>
              <w:top w:val="single" w:sz="4" w:space="0" w:color="auto"/>
              <w:left w:val="single" w:sz="4" w:space="0" w:color="auto"/>
              <w:bottom w:val="single" w:sz="4" w:space="0" w:color="auto"/>
              <w:right w:val="single" w:sz="4" w:space="0" w:color="auto"/>
            </w:tcBorders>
            <w:vAlign w:val="center"/>
            <w:hideMark/>
          </w:tcPr>
          <w:p w14:paraId="07C4A548"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3</w:t>
            </w:r>
          </w:p>
        </w:tc>
        <w:tc>
          <w:tcPr>
            <w:tcW w:w="2142" w:type="dxa"/>
            <w:tcBorders>
              <w:top w:val="single" w:sz="4" w:space="0" w:color="auto"/>
              <w:left w:val="single" w:sz="4" w:space="0" w:color="auto"/>
              <w:bottom w:val="single" w:sz="4" w:space="0" w:color="auto"/>
              <w:right w:val="single" w:sz="4" w:space="0" w:color="auto"/>
            </w:tcBorders>
            <w:vAlign w:val="center"/>
            <w:hideMark/>
          </w:tcPr>
          <w:p w14:paraId="1E057BAC"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830</w:t>
            </w:r>
          </w:p>
        </w:tc>
      </w:tr>
      <w:tr w:rsidR="00443CEA" w14:paraId="28D9312A" w14:textId="77777777" w:rsidTr="00360250">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137FFD0C"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4</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01B780C"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890</w:t>
            </w:r>
          </w:p>
        </w:tc>
      </w:tr>
      <w:tr w:rsidR="00443CEA" w14:paraId="452DC751" w14:textId="77777777" w:rsidTr="00360250">
        <w:tc>
          <w:tcPr>
            <w:tcW w:w="0" w:type="auto"/>
            <w:vMerge/>
            <w:tcBorders>
              <w:top w:val="single" w:sz="4" w:space="0" w:color="auto"/>
              <w:left w:val="single" w:sz="4" w:space="0" w:color="auto"/>
              <w:bottom w:val="single" w:sz="4" w:space="0" w:color="auto"/>
              <w:right w:val="single" w:sz="4" w:space="0" w:color="auto"/>
            </w:tcBorders>
            <w:vAlign w:val="center"/>
            <w:hideMark/>
          </w:tcPr>
          <w:p w14:paraId="2F3FD2B4" w14:textId="77777777" w:rsidR="00443CEA" w:rsidRDefault="00443CEA" w:rsidP="00360250">
            <w:pPr>
              <w:rPr>
                <w:rFonts w:eastAsia="Times New Roman" w:cs="Times New Roman"/>
                <w:lang w:eastAsia="fr-FR"/>
              </w:rPr>
            </w:pPr>
          </w:p>
        </w:tc>
        <w:tc>
          <w:tcPr>
            <w:tcW w:w="2142" w:type="dxa"/>
            <w:tcBorders>
              <w:top w:val="single" w:sz="4" w:space="0" w:color="auto"/>
              <w:left w:val="single" w:sz="4" w:space="0" w:color="auto"/>
              <w:bottom w:val="single" w:sz="4" w:space="0" w:color="auto"/>
              <w:right w:val="single" w:sz="4" w:space="0" w:color="auto"/>
            </w:tcBorders>
            <w:vAlign w:val="center"/>
            <w:hideMark/>
          </w:tcPr>
          <w:p w14:paraId="3E8310F1"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925</w:t>
            </w:r>
          </w:p>
        </w:tc>
      </w:tr>
      <w:tr w:rsidR="00443CEA" w14:paraId="77F7F059" w14:textId="77777777" w:rsidTr="00360250">
        <w:tc>
          <w:tcPr>
            <w:tcW w:w="0" w:type="auto"/>
            <w:vMerge/>
            <w:tcBorders>
              <w:top w:val="single" w:sz="4" w:space="0" w:color="auto"/>
              <w:left w:val="single" w:sz="4" w:space="0" w:color="auto"/>
              <w:bottom w:val="single" w:sz="4" w:space="0" w:color="auto"/>
              <w:right w:val="single" w:sz="4" w:space="0" w:color="auto"/>
            </w:tcBorders>
            <w:vAlign w:val="center"/>
            <w:hideMark/>
          </w:tcPr>
          <w:p w14:paraId="08443922" w14:textId="77777777" w:rsidR="00443CEA" w:rsidRDefault="00443CEA" w:rsidP="00360250">
            <w:pPr>
              <w:rPr>
                <w:rFonts w:eastAsia="Times New Roman" w:cs="Times New Roman"/>
                <w:lang w:eastAsia="fr-FR"/>
              </w:rPr>
            </w:pPr>
          </w:p>
        </w:tc>
        <w:tc>
          <w:tcPr>
            <w:tcW w:w="2142" w:type="dxa"/>
            <w:tcBorders>
              <w:top w:val="single" w:sz="4" w:space="0" w:color="auto"/>
              <w:left w:val="single" w:sz="4" w:space="0" w:color="auto"/>
              <w:bottom w:val="single" w:sz="4" w:space="0" w:color="auto"/>
              <w:right w:val="single" w:sz="4" w:space="0" w:color="auto"/>
            </w:tcBorders>
            <w:vAlign w:val="center"/>
            <w:hideMark/>
          </w:tcPr>
          <w:p w14:paraId="3C508480"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972</w:t>
            </w:r>
          </w:p>
        </w:tc>
      </w:tr>
    </w:tbl>
    <w:p w14:paraId="61DC17BD" w14:textId="77777777" w:rsidR="00A66168" w:rsidRDefault="00A66168" w:rsidP="00443CEA">
      <w:pPr>
        <w:pStyle w:val="NormalWeb"/>
        <w:spacing w:before="120" w:beforeAutospacing="0" w:after="0" w:afterAutospacing="0"/>
        <w:ind w:left="170" w:right="170"/>
        <w:jc w:val="both"/>
        <w:rPr>
          <w:rFonts w:asciiTheme="minorHAnsi" w:hAnsiTheme="minorHAnsi"/>
          <w:sz w:val="22"/>
          <w:szCs w:val="22"/>
        </w:rPr>
      </w:pPr>
    </w:p>
    <w:p w14:paraId="7DCC7BF7" w14:textId="3D9A41D3" w:rsidR="00443CEA" w:rsidRPr="004A5EA9" w:rsidRDefault="00443CEA" w:rsidP="00443CEA">
      <w:pPr>
        <w:pStyle w:val="NormalWeb"/>
        <w:spacing w:before="120" w:beforeAutospacing="0" w:after="0" w:afterAutospacing="0"/>
        <w:ind w:left="170" w:right="170"/>
        <w:jc w:val="both"/>
        <w:rPr>
          <w:rFonts w:asciiTheme="minorHAnsi" w:hAnsiTheme="minorHAnsi"/>
          <w:sz w:val="22"/>
          <w:szCs w:val="22"/>
          <w:u w:val="single"/>
        </w:rPr>
      </w:pPr>
      <w:r w:rsidRPr="004A5EA9">
        <w:rPr>
          <w:rFonts w:asciiTheme="minorHAnsi" w:hAnsiTheme="minorHAnsi"/>
          <w:sz w:val="22"/>
          <w:szCs w:val="22"/>
          <w:u w:val="single"/>
        </w:rPr>
        <w:t xml:space="preserve">Grille agrégés </w:t>
      </w:r>
      <w:r w:rsidRPr="004A5EA9">
        <w:rPr>
          <w:rFonts w:asciiTheme="minorHAnsi" w:hAnsiTheme="minorHAnsi"/>
          <w:b/>
          <w:sz w:val="22"/>
          <w:szCs w:val="22"/>
          <w:u w:val="single"/>
        </w:rPr>
        <w:t>classe exceptionnelle</w:t>
      </w:r>
      <w:r w:rsidRPr="004A5EA9">
        <w:rPr>
          <w:rFonts w:asciiTheme="minorHAnsi" w:hAnsiTheme="minorHAnsi"/>
          <w:sz w:val="22"/>
          <w:szCs w:val="22"/>
          <w:u w:val="single"/>
        </w:rPr>
        <w:t xml:space="preserve"> juillet 2022</w:t>
      </w:r>
    </w:p>
    <w:p w14:paraId="28BCB9D4"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p>
    <w:tbl>
      <w:tblPr>
        <w:tblStyle w:val="Grilledutableau"/>
        <w:tblW w:w="0" w:type="auto"/>
        <w:tblInd w:w="720" w:type="dxa"/>
        <w:tblLook w:val="04A0" w:firstRow="1" w:lastRow="0" w:firstColumn="1" w:lastColumn="0" w:noHBand="0" w:noVBand="1"/>
      </w:tblPr>
      <w:tblGrid>
        <w:gridCol w:w="2142"/>
        <w:gridCol w:w="2142"/>
      </w:tblGrid>
      <w:tr w:rsidR="00443CEA" w14:paraId="5A57AEF6" w14:textId="77777777" w:rsidTr="00360250">
        <w:tc>
          <w:tcPr>
            <w:tcW w:w="2142" w:type="dxa"/>
            <w:tcBorders>
              <w:top w:val="single" w:sz="4" w:space="0" w:color="auto"/>
              <w:left w:val="single" w:sz="4" w:space="0" w:color="auto"/>
              <w:bottom w:val="single" w:sz="4" w:space="0" w:color="auto"/>
              <w:right w:val="single" w:sz="4" w:space="0" w:color="auto"/>
            </w:tcBorders>
            <w:vAlign w:val="center"/>
            <w:hideMark/>
          </w:tcPr>
          <w:p w14:paraId="6B31C0AC" w14:textId="77777777" w:rsidR="00443CEA" w:rsidRDefault="00443CEA" w:rsidP="00360250">
            <w:pPr>
              <w:spacing w:before="120"/>
              <w:ind w:left="170" w:right="170"/>
              <w:jc w:val="both"/>
              <w:rPr>
                <w:rFonts w:eastAsia="Times New Roman" w:cs="Times New Roman"/>
                <w:b/>
                <w:bCs/>
                <w:lang w:eastAsia="fr-FR"/>
              </w:rPr>
            </w:pPr>
            <w:r>
              <w:rPr>
                <w:rFonts w:eastAsia="Times New Roman" w:cs="Times New Roman"/>
                <w:b/>
                <w:bCs/>
                <w:lang w:eastAsia="fr-FR"/>
              </w:rPr>
              <w:t>Échelon</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EB96B56" w14:textId="77777777" w:rsidR="00443CEA" w:rsidRDefault="00443CEA" w:rsidP="00360250">
            <w:pPr>
              <w:spacing w:before="120"/>
              <w:ind w:left="170" w:right="170"/>
              <w:jc w:val="both"/>
              <w:rPr>
                <w:rFonts w:eastAsia="Times New Roman" w:cs="Times New Roman"/>
                <w:b/>
                <w:bCs/>
                <w:lang w:eastAsia="fr-FR"/>
              </w:rPr>
            </w:pPr>
            <w:r>
              <w:rPr>
                <w:rFonts w:eastAsia="Times New Roman" w:cs="Times New Roman"/>
                <w:b/>
                <w:bCs/>
                <w:lang w:eastAsia="fr-FR"/>
              </w:rPr>
              <w:t>Indice majoré</w:t>
            </w:r>
          </w:p>
        </w:tc>
      </w:tr>
      <w:tr w:rsidR="00443CEA" w14:paraId="5A880D26" w14:textId="77777777" w:rsidTr="00360250">
        <w:tc>
          <w:tcPr>
            <w:tcW w:w="2142" w:type="dxa"/>
            <w:tcBorders>
              <w:top w:val="single" w:sz="4" w:space="0" w:color="auto"/>
              <w:left w:val="single" w:sz="4" w:space="0" w:color="auto"/>
              <w:bottom w:val="single" w:sz="4" w:space="0" w:color="auto"/>
              <w:right w:val="single" w:sz="4" w:space="0" w:color="auto"/>
            </w:tcBorders>
            <w:vAlign w:val="center"/>
            <w:hideMark/>
          </w:tcPr>
          <w:p w14:paraId="70E002C8"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1</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CD7B6AE"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830</w:t>
            </w:r>
          </w:p>
        </w:tc>
      </w:tr>
      <w:tr w:rsidR="00443CEA" w14:paraId="77876087" w14:textId="77777777" w:rsidTr="00360250">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306D3FC6"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2</w:t>
            </w:r>
          </w:p>
        </w:tc>
        <w:tc>
          <w:tcPr>
            <w:tcW w:w="2142" w:type="dxa"/>
            <w:tcBorders>
              <w:top w:val="single" w:sz="4" w:space="0" w:color="auto"/>
              <w:left w:val="single" w:sz="4" w:space="0" w:color="auto"/>
              <w:bottom w:val="single" w:sz="4" w:space="0" w:color="auto"/>
              <w:right w:val="single" w:sz="4" w:space="0" w:color="auto"/>
            </w:tcBorders>
            <w:vAlign w:val="center"/>
            <w:hideMark/>
          </w:tcPr>
          <w:p w14:paraId="6A346804"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890</w:t>
            </w:r>
          </w:p>
        </w:tc>
      </w:tr>
      <w:tr w:rsidR="00443CEA" w14:paraId="1C1F90B7" w14:textId="77777777" w:rsidTr="00360250">
        <w:tc>
          <w:tcPr>
            <w:tcW w:w="0" w:type="auto"/>
            <w:vMerge/>
            <w:tcBorders>
              <w:top w:val="single" w:sz="4" w:space="0" w:color="auto"/>
              <w:left w:val="single" w:sz="4" w:space="0" w:color="auto"/>
              <w:bottom w:val="single" w:sz="4" w:space="0" w:color="auto"/>
              <w:right w:val="single" w:sz="4" w:space="0" w:color="auto"/>
            </w:tcBorders>
            <w:vAlign w:val="center"/>
            <w:hideMark/>
          </w:tcPr>
          <w:p w14:paraId="1F8F1DA5" w14:textId="77777777" w:rsidR="00443CEA" w:rsidRDefault="00443CEA" w:rsidP="00360250">
            <w:pPr>
              <w:rPr>
                <w:rFonts w:eastAsia="Times New Roman" w:cs="Times New Roman"/>
                <w:lang w:eastAsia="fr-FR"/>
              </w:rPr>
            </w:pPr>
          </w:p>
        </w:tc>
        <w:tc>
          <w:tcPr>
            <w:tcW w:w="2142" w:type="dxa"/>
            <w:tcBorders>
              <w:top w:val="single" w:sz="4" w:space="0" w:color="auto"/>
              <w:left w:val="single" w:sz="4" w:space="0" w:color="auto"/>
              <w:bottom w:val="single" w:sz="4" w:space="0" w:color="auto"/>
              <w:right w:val="single" w:sz="4" w:space="0" w:color="auto"/>
            </w:tcBorders>
            <w:vAlign w:val="center"/>
            <w:hideMark/>
          </w:tcPr>
          <w:p w14:paraId="50710D7F"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925</w:t>
            </w:r>
          </w:p>
        </w:tc>
      </w:tr>
      <w:tr w:rsidR="00443CEA" w14:paraId="4415A6B5" w14:textId="77777777" w:rsidTr="00360250">
        <w:tc>
          <w:tcPr>
            <w:tcW w:w="0" w:type="auto"/>
            <w:vMerge/>
            <w:tcBorders>
              <w:top w:val="single" w:sz="4" w:space="0" w:color="auto"/>
              <w:left w:val="single" w:sz="4" w:space="0" w:color="auto"/>
              <w:bottom w:val="single" w:sz="4" w:space="0" w:color="auto"/>
              <w:right w:val="single" w:sz="4" w:space="0" w:color="auto"/>
            </w:tcBorders>
            <w:vAlign w:val="center"/>
            <w:hideMark/>
          </w:tcPr>
          <w:p w14:paraId="01FF6C37" w14:textId="77777777" w:rsidR="00443CEA" w:rsidRDefault="00443CEA" w:rsidP="00360250">
            <w:pPr>
              <w:rPr>
                <w:rFonts w:eastAsia="Times New Roman" w:cs="Times New Roman"/>
                <w:lang w:eastAsia="fr-FR"/>
              </w:rPr>
            </w:pPr>
          </w:p>
        </w:tc>
        <w:tc>
          <w:tcPr>
            <w:tcW w:w="2142" w:type="dxa"/>
            <w:tcBorders>
              <w:top w:val="single" w:sz="4" w:space="0" w:color="auto"/>
              <w:left w:val="single" w:sz="4" w:space="0" w:color="auto"/>
              <w:bottom w:val="single" w:sz="4" w:space="0" w:color="auto"/>
              <w:right w:val="single" w:sz="4" w:space="0" w:color="auto"/>
            </w:tcBorders>
            <w:vAlign w:val="center"/>
            <w:hideMark/>
          </w:tcPr>
          <w:p w14:paraId="3EE72224"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972</w:t>
            </w:r>
          </w:p>
        </w:tc>
      </w:tr>
      <w:tr w:rsidR="00443CEA" w14:paraId="350C71EF" w14:textId="77777777" w:rsidTr="00360250">
        <w:tc>
          <w:tcPr>
            <w:tcW w:w="2142" w:type="dxa"/>
            <w:vMerge w:val="restart"/>
            <w:tcBorders>
              <w:top w:val="single" w:sz="4" w:space="0" w:color="auto"/>
              <w:left w:val="single" w:sz="4" w:space="0" w:color="auto"/>
              <w:bottom w:val="single" w:sz="4" w:space="0" w:color="auto"/>
              <w:right w:val="single" w:sz="4" w:space="0" w:color="auto"/>
            </w:tcBorders>
            <w:vAlign w:val="center"/>
            <w:hideMark/>
          </w:tcPr>
          <w:p w14:paraId="0DA94041"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3</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112B091"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972</w:t>
            </w:r>
          </w:p>
        </w:tc>
      </w:tr>
      <w:tr w:rsidR="00443CEA" w14:paraId="5DD13FE4" w14:textId="77777777" w:rsidTr="00360250">
        <w:tc>
          <w:tcPr>
            <w:tcW w:w="0" w:type="auto"/>
            <w:vMerge/>
            <w:tcBorders>
              <w:top w:val="single" w:sz="4" w:space="0" w:color="auto"/>
              <w:left w:val="single" w:sz="4" w:space="0" w:color="auto"/>
              <w:bottom w:val="single" w:sz="4" w:space="0" w:color="auto"/>
              <w:right w:val="single" w:sz="4" w:space="0" w:color="auto"/>
            </w:tcBorders>
            <w:vAlign w:val="center"/>
            <w:hideMark/>
          </w:tcPr>
          <w:p w14:paraId="397BADB3" w14:textId="77777777" w:rsidR="00443CEA" w:rsidRDefault="00443CEA" w:rsidP="00360250">
            <w:pPr>
              <w:rPr>
                <w:rFonts w:eastAsia="Times New Roman" w:cs="Times New Roman"/>
                <w:lang w:eastAsia="fr-FR"/>
              </w:rPr>
            </w:pPr>
          </w:p>
        </w:tc>
        <w:tc>
          <w:tcPr>
            <w:tcW w:w="2142" w:type="dxa"/>
            <w:tcBorders>
              <w:top w:val="single" w:sz="4" w:space="0" w:color="auto"/>
              <w:left w:val="single" w:sz="4" w:space="0" w:color="auto"/>
              <w:bottom w:val="single" w:sz="4" w:space="0" w:color="auto"/>
              <w:right w:val="single" w:sz="4" w:space="0" w:color="auto"/>
            </w:tcBorders>
            <w:vAlign w:val="center"/>
            <w:hideMark/>
          </w:tcPr>
          <w:p w14:paraId="58C377A1"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1 013</w:t>
            </w:r>
          </w:p>
        </w:tc>
      </w:tr>
      <w:tr w:rsidR="00443CEA" w14:paraId="523112D4" w14:textId="77777777" w:rsidTr="00360250">
        <w:tc>
          <w:tcPr>
            <w:tcW w:w="0" w:type="auto"/>
            <w:vMerge/>
            <w:tcBorders>
              <w:top w:val="single" w:sz="4" w:space="0" w:color="auto"/>
              <w:left w:val="single" w:sz="4" w:space="0" w:color="auto"/>
              <w:bottom w:val="single" w:sz="4" w:space="0" w:color="auto"/>
              <w:right w:val="single" w:sz="4" w:space="0" w:color="auto"/>
            </w:tcBorders>
            <w:vAlign w:val="center"/>
            <w:hideMark/>
          </w:tcPr>
          <w:p w14:paraId="3F8CF6F4" w14:textId="77777777" w:rsidR="00443CEA" w:rsidRDefault="00443CEA" w:rsidP="00360250">
            <w:pPr>
              <w:rPr>
                <w:rFonts w:eastAsia="Times New Roman" w:cs="Times New Roman"/>
                <w:lang w:eastAsia="fr-FR"/>
              </w:rPr>
            </w:pPr>
          </w:p>
        </w:tc>
        <w:tc>
          <w:tcPr>
            <w:tcW w:w="2142" w:type="dxa"/>
            <w:tcBorders>
              <w:top w:val="single" w:sz="4" w:space="0" w:color="auto"/>
              <w:left w:val="single" w:sz="4" w:space="0" w:color="auto"/>
              <w:bottom w:val="single" w:sz="4" w:space="0" w:color="auto"/>
              <w:right w:val="single" w:sz="4" w:space="0" w:color="auto"/>
            </w:tcBorders>
            <w:vAlign w:val="center"/>
            <w:hideMark/>
          </w:tcPr>
          <w:p w14:paraId="1DEAC26A" w14:textId="77777777" w:rsidR="00443CEA" w:rsidRDefault="00443CEA" w:rsidP="00360250">
            <w:pPr>
              <w:spacing w:before="120"/>
              <w:ind w:left="170" w:right="170"/>
              <w:jc w:val="both"/>
              <w:rPr>
                <w:rFonts w:eastAsia="Times New Roman" w:cs="Times New Roman"/>
                <w:lang w:eastAsia="fr-FR"/>
              </w:rPr>
            </w:pPr>
            <w:r>
              <w:rPr>
                <w:rFonts w:eastAsia="Times New Roman" w:cs="Times New Roman"/>
                <w:lang w:eastAsia="fr-FR"/>
              </w:rPr>
              <w:t>1 067</w:t>
            </w:r>
          </w:p>
        </w:tc>
      </w:tr>
    </w:tbl>
    <w:p w14:paraId="3FAC434E"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p>
    <w:p w14:paraId="4E9EDD94"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p>
    <w:p w14:paraId="3FA7533A" w14:textId="77777777" w:rsidR="00443CEA" w:rsidRDefault="00443CEA" w:rsidP="00443CEA">
      <w:pPr>
        <w:pStyle w:val="NormalWeb"/>
        <w:numPr>
          <w:ilvl w:val="0"/>
          <w:numId w:val="1"/>
        </w:numPr>
        <w:spacing w:before="120" w:beforeAutospacing="0" w:after="0" w:afterAutospacing="0"/>
        <w:ind w:left="170" w:right="170"/>
        <w:jc w:val="both"/>
        <w:rPr>
          <w:rFonts w:asciiTheme="minorHAnsi" w:hAnsiTheme="minorHAnsi"/>
          <w:b/>
          <w:sz w:val="22"/>
          <w:szCs w:val="22"/>
        </w:rPr>
      </w:pPr>
      <w:r>
        <w:rPr>
          <w:rFonts w:asciiTheme="minorHAnsi" w:hAnsiTheme="minorHAnsi"/>
          <w:b/>
          <w:sz w:val="22"/>
          <w:szCs w:val="22"/>
        </w:rPr>
        <w:t>La rétrogradation d’un personnel sans qu’il y ait eu manquement à ses obligations professionnelles.</w:t>
      </w:r>
    </w:p>
    <w:p w14:paraId="1130B775"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 xml:space="preserve">Le directeur de SEGPA perd le bénéfice des points d’indice liés à sa </w:t>
      </w:r>
      <w:r>
        <w:rPr>
          <w:rFonts w:asciiTheme="minorHAnsi" w:hAnsiTheme="minorHAnsi"/>
          <w:b/>
          <w:sz w:val="22"/>
          <w:szCs w:val="22"/>
        </w:rPr>
        <w:t>fonction</w:t>
      </w:r>
      <w:r>
        <w:rPr>
          <w:rFonts w:asciiTheme="minorHAnsi" w:hAnsiTheme="minorHAnsi"/>
          <w:sz w:val="22"/>
          <w:szCs w:val="22"/>
        </w:rPr>
        <w:t xml:space="preserve"> et à son </w:t>
      </w:r>
      <w:r>
        <w:rPr>
          <w:rFonts w:asciiTheme="minorHAnsi" w:hAnsiTheme="minorHAnsi"/>
          <w:b/>
          <w:sz w:val="22"/>
          <w:szCs w:val="22"/>
        </w:rPr>
        <w:t>déroulement de carrière</w:t>
      </w:r>
      <w:r>
        <w:rPr>
          <w:rFonts w:asciiTheme="minorHAnsi" w:hAnsiTheme="minorHAnsi"/>
          <w:sz w:val="22"/>
          <w:szCs w:val="22"/>
        </w:rPr>
        <w:t> : (HEA 2) 972 au lieu de 975, (HEA3) 972 au lieu de 1025. Cette décision rétrograde le directeur de SEGPA en cours de carrière sans que cela ne soit justifié par un motif disciplinaire.</w:t>
      </w:r>
    </w:p>
    <w:p w14:paraId="14FABFC0" w14:textId="77777777" w:rsidR="00443CEA" w:rsidRDefault="00443CEA" w:rsidP="00443CEA">
      <w:pPr>
        <w:pStyle w:val="NormalWeb"/>
        <w:spacing w:before="120" w:beforeAutospacing="0" w:after="0" w:afterAutospacing="0"/>
        <w:ind w:right="170"/>
        <w:jc w:val="both"/>
        <w:rPr>
          <w:rFonts w:asciiTheme="minorHAnsi" w:hAnsiTheme="minorHAnsi"/>
          <w:b/>
          <w:sz w:val="22"/>
          <w:szCs w:val="22"/>
        </w:rPr>
      </w:pPr>
    </w:p>
    <w:p w14:paraId="729ADDB9" w14:textId="55D8AE25" w:rsidR="00443CEA" w:rsidRDefault="00443CEA" w:rsidP="00443CEA">
      <w:pPr>
        <w:pStyle w:val="NormalWeb"/>
        <w:numPr>
          <w:ilvl w:val="0"/>
          <w:numId w:val="1"/>
        </w:numPr>
        <w:spacing w:before="120" w:beforeAutospacing="0" w:after="0" w:afterAutospacing="0"/>
        <w:ind w:left="170" w:right="170"/>
        <w:jc w:val="both"/>
        <w:rPr>
          <w:rFonts w:asciiTheme="minorHAnsi" w:hAnsiTheme="minorHAnsi"/>
          <w:b/>
          <w:sz w:val="22"/>
          <w:szCs w:val="22"/>
        </w:rPr>
      </w:pPr>
      <w:r>
        <w:rPr>
          <w:rFonts w:asciiTheme="minorHAnsi" w:hAnsiTheme="minorHAnsi"/>
          <w:b/>
          <w:sz w:val="22"/>
          <w:szCs w:val="22"/>
        </w:rPr>
        <w:t>La transformation de points en prime entra</w:t>
      </w:r>
      <w:r w:rsidR="001849B9">
        <w:rPr>
          <w:rFonts w:asciiTheme="minorHAnsi" w:hAnsiTheme="minorHAnsi"/>
          <w:b/>
          <w:sz w:val="22"/>
          <w:szCs w:val="22"/>
        </w:rPr>
        <w:t>î</w:t>
      </w:r>
      <w:r>
        <w:rPr>
          <w:rFonts w:asciiTheme="minorHAnsi" w:hAnsiTheme="minorHAnsi"/>
          <w:b/>
          <w:sz w:val="22"/>
          <w:szCs w:val="22"/>
        </w:rPr>
        <w:t>nant une rupture d’égalité avec les autres personnels à niveau égal.</w:t>
      </w:r>
    </w:p>
    <w:p w14:paraId="3A38EC28"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 xml:space="preserve">Le directeur de SEGPA perd le bénéfice des points d’indice liés à sa </w:t>
      </w:r>
      <w:r>
        <w:rPr>
          <w:rFonts w:asciiTheme="minorHAnsi" w:hAnsiTheme="minorHAnsi"/>
          <w:b/>
          <w:sz w:val="22"/>
          <w:szCs w:val="22"/>
        </w:rPr>
        <w:t>fonction</w:t>
      </w:r>
      <w:r>
        <w:rPr>
          <w:rFonts w:asciiTheme="minorHAnsi" w:hAnsiTheme="minorHAnsi"/>
          <w:sz w:val="22"/>
          <w:szCs w:val="22"/>
        </w:rPr>
        <w:t xml:space="preserve"> et à son </w:t>
      </w:r>
      <w:r>
        <w:rPr>
          <w:rFonts w:asciiTheme="minorHAnsi" w:hAnsiTheme="minorHAnsi"/>
          <w:b/>
          <w:sz w:val="22"/>
          <w:szCs w:val="22"/>
        </w:rPr>
        <w:t>déroulement de carrière</w:t>
      </w:r>
      <w:r>
        <w:rPr>
          <w:rFonts w:asciiTheme="minorHAnsi" w:hAnsiTheme="minorHAnsi"/>
          <w:sz w:val="22"/>
          <w:szCs w:val="22"/>
        </w:rPr>
        <w:t xml:space="preserve">. </w:t>
      </w:r>
    </w:p>
    <w:p w14:paraId="34C88E61"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b/>
          <w:sz w:val="22"/>
          <w:szCs w:val="22"/>
        </w:rPr>
        <w:lastRenderedPageBreak/>
        <w:t>Fonction</w:t>
      </w:r>
      <w:r>
        <w:rPr>
          <w:rFonts w:asciiTheme="minorHAnsi" w:hAnsiTheme="minorHAnsi"/>
          <w:sz w:val="22"/>
          <w:szCs w:val="22"/>
        </w:rPr>
        <w:t> : quand les directeurs de SEGPA se sont engagés dans ces fonctions, il était pourtant clair que la bonification se traduisait par 50 points d’indice et non par une compensation en prime.</w:t>
      </w:r>
    </w:p>
    <w:p w14:paraId="0D0ADC88"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Dans ce cas, il s’agit d’une transformation de points en prime, un véritable paradoxe alors que le ministère s’est engagé progressivement dans la transformation de prime en points.</w:t>
      </w:r>
    </w:p>
    <w:p w14:paraId="74BB1735" w14:textId="00D49150"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b/>
          <w:sz w:val="22"/>
          <w:szCs w:val="22"/>
        </w:rPr>
        <w:t>Déroulement de carrière</w:t>
      </w:r>
      <w:r>
        <w:rPr>
          <w:rFonts w:asciiTheme="minorHAnsi" w:hAnsiTheme="minorHAnsi"/>
          <w:sz w:val="22"/>
          <w:szCs w:val="22"/>
        </w:rPr>
        <w:t xml:space="preserve"> : l’arrêté de 2017 avait pour objectif de permettre </w:t>
      </w:r>
      <w:r w:rsidR="00FC479A">
        <w:rPr>
          <w:rFonts w:asciiTheme="minorHAnsi" w:hAnsiTheme="minorHAnsi"/>
          <w:sz w:val="22"/>
          <w:szCs w:val="22"/>
        </w:rPr>
        <w:t>aux directeurs</w:t>
      </w:r>
      <w:r>
        <w:rPr>
          <w:rFonts w:asciiTheme="minorHAnsi" w:hAnsiTheme="minorHAnsi"/>
          <w:sz w:val="22"/>
          <w:szCs w:val="22"/>
        </w:rPr>
        <w:t xml:space="preserve"> de SEGPA d’augmenter leur indice au regard de la durée et de la qualité de leur carrière. Il ne leur a jamais été spécifié que dans leur cas, les règles n’étaient pas les mêmes que pour les autres personnels et qu’ils ne pourraient pas atteindre le sommet de la nouvelle grille.</w:t>
      </w:r>
    </w:p>
    <w:p w14:paraId="4876493C"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p>
    <w:p w14:paraId="7CE45BBC" w14:textId="77777777" w:rsidR="00443CEA" w:rsidRDefault="00443CEA" w:rsidP="00443CEA">
      <w:pPr>
        <w:pStyle w:val="NormalWeb"/>
        <w:spacing w:before="120" w:beforeAutospacing="0" w:after="0" w:afterAutospacing="0"/>
        <w:ind w:left="170" w:right="170"/>
        <w:jc w:val="both"/>
        <w:rPr>
          <w:rFonts w:asciiTheme="minorHAnsi" w:hAnsiTheme="minorHAnsi"/>
          <w:b/>
          <w:sz w:val="22"/>
          <w:szCs w:val="22"/>
        </w:rPr>
      </w:pPr>
      <w:r>
        <w:rPr>
          <w:rFonts w:asciiTheme="minorHAnsi" w:hAnsiTheme="minorHAnsi"/>
          <w:b/>
          <w:sz w:val="22"/>
          <w:szCs w:val="22"/>
        </w:rPr>
        <w:t>Avant la note de service, grille des DACS</w:t>
      </w:r>
    </w:p>
    <w:p w14:paraId="5FA02C70" w14:textId="77777777" w:rsidR="00443CEA" w:rsidRDefault="00443CEA" w:rsidP="00443CEA">
      <w:pPr>
        <w:pStyle w:val="NormalWeb"/>
        <w:spacing w:before="120" w:beforeAutospacing="0" w:after="0" w:afterAutospacing="0"/>
        <w:ind w:left="170" w:right="170"/>
        <w:jc w:val="both"/>
        <w:rPr>
          <w:rFonts w:asciiTheme="minorHAnsi" w:hAnsiTheme="minorHAnsi"/>
          <w:b/>
          <w:sz w:val="22"/>
          <w:szCs w:val="22"/>
        </w:rPr>
      </w:pPr>
    </w:p>
    <w:tbl>
      <w:tblPr>
        <w:tblStyle w:val="Grilledutableau"/>
        <w:tblW w:w="0" w:type="auto"/>
        <w:tblInd w:w="720" w:type="dxa"/>
        <w:tblLook w:val="04A0" w:firstRow="1" w:lastRow="0" w:firstColumn="1" w:lastColumn="0" w:noHBand="0" w:noVBand="1"/>
      </w:tblPr>
      <w:tblGrid>
        <w:gridCol w:w="2177"/>
        <w:gridCol w:w="2008"/>
        <w:gridCol w:w="2131"/>
        <w:gridCol w:w="2026"/>
      </w:tblGrid>
      <w:tr w:rsidR="00443CEA" w14:paraId="365C310D"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1ED5A952"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Classe exceptionnelle</w:t>
            </w:r>
          </w:p>
        </w:tc>
        <w:tc>
          <w:tcPr>
            <w:tcW w:w="2089" w:type="dxa"/>
            <w:tcBorders>
              <w:top w:val="single" w:sz="4" w:space="0" w:color="auto"/>
              <w:left w:val="single" w:sz="4" w:space="0" w:color="auto"/>
              <w:bottom w:val="single" w:sz="4" w:space="0" w:color="auto"/>
              <w:right w:val="single" w:sz="4" w:space="0" w:color="auto"/>
            </w:tcBorders>
            <w:hideMark/>
          </w:tcPr>
          <w:p w14:paraId="05CD6019"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Indice</w:t>
            </w:r>
          </w:p>
        </w:tc>
        <w:tc>
          <w:tcPr>
            <w:tcW w:w="2176" w:type="dxa"/>
            <w:tcBorders>
              <w:top w:val="single" w:sz="4" w:space="0" w:color="auto"/>
              <w:left w:val="single" w:sz="4" w:space="0" w:color="auto"/>
              <w:bottom w:val="single" w:sz="4" w:space="0" w:color="auto"/>
              <w:right w:val="single" w:sz="4" w:space="0" w:color="auto"/>
            </w:tcBorders>
            <w:hideMark/>
          </w:tcPr>
          <w:p w14:paraId="32EC4020"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Bonification indiciaire liée aux fonctions de DACS</w:t>
            </w:r>
          </w:p>
        </w:tc>
        <w:tc>
          <w:tcPr>
            <w:tcW w:w="2099" w:type="dxa"/>
            <w:tcBorders>
              <w:top w:val="single" w:sz="4" w:space="0" w:color="auto"/>
              <w:left w:val="single" w:sz="4" w:space="0" w:color="auto"/>
              <w:bottom w:val="single" w:sz="4" w:space="0" w:color="auto"/>
              <w:right w:val="single" w:sz="4" w:space="0" w:color="auto"/>
            </w:tcBorders>
            <w:hideMark/>
          </w:tcPr>
          <w:p w14:paraId="2C64E970"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Indice+ BI</w:t>
            </w:r>
          </w:p>
        </w:tc>
      </w:tr>
      <w:tr w:rsidR="00443CEA" w14:paraId="023CE90F"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09D27E84"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HEA1</w:t>
            </w:r>
          </w:p>
        </w:tc>
        <w:tc>
          <w:tcPr>
            <w:tcW w:w="2089" w:type="dxa"/>
            <w:tcBorders>
              <w:top w:val="single" w:sz="4" w:space="0" w:color="auto"/>
              <w:left w:val="single" w:sz="4" w:space="0" w:color="auto"/>
              <w:bottom w:val="single" w:sz="4" w:space="0" w:color="auto"/>
              <w:right w:val="single" w:sz="4" w:space="0" w:color="auto"/>
            </w:tcBorders>
            <w:hideMark/>
          </w:tcPr>
          <w:p w14:paraId="6B4C49AB"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890</w:t>
            </w:r>
          </w:p>
        </w:tc>
        <w:tc>
          <w:tcPr>
            <w:tcW w:w="2176" w:type="dxa"/>
            <w:tcBorders>
              <w:top w:val="single" w:sz="4" w:space="0" w:color="auto"/>
              <w:left w:val="single" w:sz="4" w:space="0" w:color="auto"/>
              <w:bottom w:val="single" w:sz="4" w:space="0" w:color="auto"/>
              <w:right w:val="single" w:sz="4" w:space="0" w:color="auto"/>
            </w:tcBorders>
            <w:hideMark/>
          </w:tcPr>
          <w:p w14:paraId="68B31C68"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50</w:t>
            </w:r>
          </w:p>
        </w:tc>
        <w:tc>
          <w:tcPr>
            <w:tcW w:w="2099" w:type="dxa"/>
            <w:tcBorders>
              <w:top w:val="single" w:sz="4" w:space="0" w:color="auto"/>
              <w:left w:val="single" w:sz="4" w:space="0" w:color="auto"/>
              <w:bottom w:val="single" w:sz="4" w:space="0" w:color="auto"/>
              <w:right w:val="single" w:sz="4" w:space="0" w:color="auto"/>
            </w:tcBorders>
            <w:hideMark/>
          </w:tcPr>
          <w:p w14:paraId="3A55A237"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940</w:t>
            </w:r>
          </w:p>
        </w:tc>
      </w:tr>
      <w:tr w:rsidR="00443CEA" w14:paraId="7614DEB0"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75C58617"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HEA2</w:t>
            </w:r>
          </w:p>
        </w:tc>
        <w:tc>
          <w:tcPr>
            <w:tcW w:w="2089" w:type="dxa"/>
            <w:tcBorders>
              <w:top w:val="single" w:sz="4" w:space="0" w:color="auto"/>
              <w:left w:val="single" w:sz="4" w:space="0" w:color="auto"/>
              <w:bottom w:val="single" w:sz="4" w:space="0" w:color="auto"/>
              <w:right w:val="single" w:sz="4" w:space="0" w:color="auto"/>
            </w:tcBorders>
            <w:hideMark/>
          </w:tcPr>
          <w:p w14:paraId="35B60F8D"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925</w:t>
            </w:r>
          </w:p>
        </w:tc>
        <w:tc>
          <w:tcPr>
            <w:tcW w:w="2176" w:type="dxa"/>
            <w:tcBorders>
              <w:top w:val="single" w:sz="4" w:space="0" w:color="auto"/>
              <w:left w:val="single" w:sz="4" w:space="0" w:color="auto"/>
              <w:bottom w:val="single" w:sz="4" w:space="0" w:color="auto"/>
              <w:right w:val="single" w:sz="4" w:space="0" w:color="auto"/>
            </w:tcBorders>
            <w:hideMark/>
          </w:tcPr>
          <w:p w14:paraId="247F740F"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50</w:t>
            </w:r>
          </w:p>
        </w:tc>
        <w:tc>
          <w:tcPr>
            <w:tcW w:w="2099" w:type="dxa"/>
            <w:tcBorders>
              <w:top w:val="single" w:sz="4" w:space="0" w:color="auto"/>
              <w:left w:val="single" w:sz="4" w:space="0" w:color="auto"/>
              <w:bottom w:val="single" w:sz="4" w:space="0" w:color="auto"/>
              <w:right w:val="single" w:sz="4" w:space="0" w:color="auto"/>
            </w:tcBorders>
            <w:hideMark/>
          </w:tcPr>
          <w:p w14:paraId="48942323"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975</w:t>
            </w:r>
          </w:p>
        </w:tc>
      </w:tr>
      <w:tr w:rsidR="00443CEA" w14:paraId="38412E91"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19AFF223"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HEA3</w:t>
            </w:r>
          </w:p>
        </w:tc>
        <w:tc>
          <w:tcPr>
            <w:tcW w:w="2089" w:type="dxa"/>
            <w:tcBorders>
              <w:top w:val="single" w:sz="4" w:space="0" w:color="auto"/>
              <w:left w:val="single" w:sz="4" w:space="0" w:color="auto"/>
              <w:bottom w:val="single" w:sz="4" w:space="0" w:color="auto"/>
              <w:right w:val="single" w:sz="4" w:space="0" w:color="auto"/>
            </w:tcBorders>
            <w:hideMark/>
          </w:tcPr>
          <w:p w14:paraId="0DE8E749"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975</w:t>
            </w:r>
          </w:p>
        </w:tc>
        <w:tc>
          <w:tcPr>
            <w:tcW w:w="2176" w:type="dxa"/>
            <w:tcBorders>
              <w:top w:val="single" w:sz="4" w:space="0" w:color="auto"/>
              <w:left w:val="single" w:sz="4" w:space="0" w:color="auto"/>
              <w:bottom w:val="single" w:sz="4" w:space="0" w:color="auto"/>
              <w:right w:val="single" w:sz="4" w:space="0" w:color="auto"/>
            </w:tcBorders>
            <w:hideMark/>
          </w:tcPr>
          <w:p w14:paraId="3AFD8255"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50</w:t>
            </w:r>
          </w:p>
        </w:tc>
        <w:tc>
          <w:tcPr>
            <w:tcW w:w="2099" w:type="dxa"/>
            <w:tcBorders>
              <w:top w:val="single" w:sz="4" w:space="0" w:color="auto"/>
              <w:left w:val="single" w:sz="4" w:space="0" w:color="auto"/>
              <w:bottom w:val="single" w:sz="4" w:space="0" w:color="auto"/>
              <w:right w:val="single" w:sz="4" w:space="0" w:color="auto"/>
            </w:tcBorders>
            <w:hideMark/>
          </w:tcPr>
          <w:p w14:paraId="2A7DD42B"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1025</w:t>
            </w:r>
          </w:p>
        </w:tc>
      </w:tr>
    </w:tbl>
    <w:p w14:paraId="37A44C50" w14:textId="77777777" w:rsidR="00443CEA" w:rsidRDefault="00443CEA" w:rsidP="00443CEA">
      <w:pPr>
        <w:pStyle w:val="NormalWeb"/>
        <w:spacing w:before="120" w:beforeAutospacing="0" w:after="0" w:afterAutospacing="0"/>
        <w:ind w:left="170" w:right="170"/>
        <w:jc w:val="both"/>
        <w:rPr>
          <w:rFonts w:asciiTheme="minorHAnsi" w:hAnsiTheme="minorHAnsi"/>
          <w:b/>
          <w:sz w:val="22"/>
          <w:szCs w:val="22"/>
        </w:rPr>
      </w:pPr>
    </w:p>
    <w:p w14:paraId="35107886" w14:textId="77777777" w:rsidR="00443CEA" w:rsidRDefault="00443CEA" w:rsidP="00443CEA">
      <w:pPr>
        <w:pStyle w:val="NormalWeb"/>
        <w:spacing w:before="120" w:beforeAutospacing="0" w:after="0" w:afterAutospacing="0"/>
        <w:ind w:left="170" w:right="170"/>
        <w:jc w:val="both"/>
        <w:rPr>
          <w:rFonts w:asciiTheme="minorHAnsi" w:hAnsiTheme="minorHAnsi"/>
          <w:b/>
          <w:sz w:val="22"/>
          <w:szCs w:val="22"/>
        </w:rPr>
      </w:pPr>
      <w:r>
        <w:rPr>
          <w:rFonts w:asciiTheme="minorHAnsi" w:hAnsiTheme="minorHAnsi"/>
          <w:b/>
          <w:sz w:val="22"/>
          <w:szCs w:val="22"/>
        </w:rPr>
        <w:t>Après la note de service, grille des DACS</w:t>
      </w:r>
    </w:p>
    <w:p w14:paraId="53EC6FE4" w14:textId="77777777" w:rsidR="00443CEA" w:rsidRDefault="00443CEA" w:rsidP="00443CEA">
      <w:pPr>
        <w:pStyle w:val="NormalWeb"/>
        <w:spacing w:before="120" w:beforeAutospacing="0" w:after="0" w:afterAutospacing="0"/>
        <w:ind w:left="170" w:right="170"/>
        <w:jc w:val="both"/>
        <w:rPr>
          <w:rFonts w:asciiTheme="minorHAnsi" w:hAnsiTheme="minorHAnsi"/>
          <w:b/>
          <w:sz w:val="22"/>
          <w:szCs w:val="22"/>
        </w:rPr>
      </w:pPr>
    </w:p>
    <w:tbl>
      <w:tblPr>
        <w:tblStyle w:val="Grilledutableau"/>
        <w:tblW w:w="0" w:type="auto"/>
        <w:tblInd w:w="720" w:type="dxa"/>
        <w:tblLook w:val="04A0" w:firstRow="1" w:lastRow="0" w:firstColumn="1" w:lastColumn="0" w:noHBand="0" w:noVBand="1"/>
      </w:tblPr>
      <w:tblGrid>
        <w:gridCol w:w="2177"/>
        <w:gridCol w:w="2008"/>
        <w:gridCol w:w="2131"/>
        <w:gridCol w:w="2026"/>
      </w:tblGrid>
      <w:tr w:rsidR="00443CEA" w14:paraId="0CE13C78"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308D550C"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Classe exceptionnelle</w:t>
            </w:r>
          </w:p>
        </w:tc>
        <w:tc>
          <w:tcPr>
            <w:tcW w:w="2089" w:type="dxa"/>
            <w:tcBorders>
              <w:top w:val="single" w:sz="4" w:space="0" w:color="auto"/>
              <w:left w:val="single" w:sz="4" w:space="0" w:color="auto"/>
              <w:bottom w:val="single" w:sz="4" w:space="0" w:color="auto"/>
              <w:right w:val="single" w:sz="4" w:space="0" w:color="auto"/>
            </w:tcBorders>
            <w:hideMark/>
          </w:tcPr>
          <w:p w14:paraId="39047152"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Indice</w:t>
            </w:r>
          </w:p>
        </w:tc>
        <w:tc>
          <w:tcPr>
            <w:tcW w:w="2176" w:type="dxa"/>
            <w:tcBorders>
              <w:top w:val="single" w:sz="4" w:space="0" w:color="auto"/>
              <w:left w:val="single" w:sz="4" w:space="0" w:color="auto"/>
              <w:bottom w:val="single" w:sz="4" w:space="0" w:color="auto"/>
              <w:right w:val="single" w:sz="4" w:space="0" w:color="auto"/>
            </w:tcBorders>
            <w:hideMark/>
          </w:tcPr>
          <w:p w14:paraId="7A7C26F6"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Bonification indiciaire liée aux fonctions de DACS</w:t>
            </w:r>
          </w:p>
        </w:tc>
        <w:tc>
          <w:tcPr>
            <w:tcW w:w="2099" w:type="dxa"/>
            <w:tcBorders>
              <w:top w:val="single" w:sz="4" w:space="0" w:color="auto"/>
              <w:left w:val="single" w:sz="4" w:space="0" w:color="auto"/>
              <w:bottom w:val="single" w:sz="4" w:space="0" w:color="auto"/>
              <w:right w:val="single" w:sz="4" w:space="0" w:color="auto"/>
            </w:tcBorders>
            <w:hideMark/>
          </w:tcPr>
          <w:p w14:paraId="07EF92D9"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Indice+ BI</w:t>
            </w:r>
          </w:p>
        </w:tc>
      </w:tr>
      <w:tr w:rsidR="00443CEA" w14:paraId="4821F984"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37D96C76"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HEA1</w:t>
            </w:r>
          </w:p>
        </w:tc>
        <w:tc>
          <w:tcPr>
            <w:tcW w:w="2089" w:type="dxa"/>
            <w:tcBorders>
              <w:top w:val="single" w:sz="4" w:space="0" w:color="auto"/>
              <w:left w:val="single" w:sz="4" w:space="0" w:color="auto"/>
              <w:bottom w:val="single" w:sz="4" w:space="0" w:color="auto"/>
              <w:right w:val="single" w:sz="4" w:space="0" w:color="auto"/>
            </w:tcBorders>
            <w:hideMark/>
          </w:tcPr>
          <w:p w14:paraId="2B22AC6E"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890</w:t>
            </w:r>
          </w:p>
        </w:tc>
        <w:tc>
          <w:tcPr>
            <w:tcW w:w="2176" w:type="dxa"/>
            <w:tcBorders>
              <w:top w:val="single" w:sz="4" w:space="0" w:color="auto"/>
              <w:left w:val="single" w:sz="4" w:space="0" w:color="auto"/>
              <w:bottom w:val="single" w:sz="4" w:space="0" w:color="auto"/>
              <w:right w:val="single" w:sz="4" w:space="0" w:color="auto"/>
            </w:tcBorders>
            <w:hideMark/>
          </w:tcPr>
          <w:p w14:paraId="6C3DCF53"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50</w:t>
            </w:r>
          </w:p>
        </w:tc>
        <w:tc>
          <w:tcPr>
            <w:tcW w:w="2099" w:type="dxa"/>
            <w:tcBorders>
              <w:top w:val="single" w:sz="4" w:space="0" w:color="auto"/>
              <w:left w:val="single" w:sz="4" w:space="0" w:color="auto"/>
              <w:bottom w:val="single" w:sz="4" w:space="0" w:color="auto"/>
              <w:right w:val="single" w:sz="4" w:space="0" w:color="auto"/>
            </w:tcBorders>
            <w:hideMark/>
          </w:tcPr>
          <w:p w14:paraId="1A479B6A"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940</w:t>
            </w:r>
          </w:p>
        </w:tc>
      </w:tr>
      <w:tr w:rsidR="00443CEA" w14:paraId="25A19EAB"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5A6E05C8"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HEA2</w:t>
            </w:r>
          </w:p>
        </w:tc>
        <w:tc>
          <w:tcPr>
            <w:tcW w:w="2089" w:type="dxa"/>
            <w:tcBorders>
              <w:top w:val="single" w:sz="4" w:space="0" w:color="auto"/>
              <w:left w:val="single" w:sz="4" w:space="0" w:color="auto"/>
              <w:bottom w:val="single" w:sz="4" w:space="0" w:color="auto"/>
              <w:right w:val="single" w:sz="4" w:space="0" w:color="auto"/>
            </w:tcBorders>
            <w:hideMark/>
          </w:tcPr>
          <w:p w14:paraId="49E0B8C6"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925</w:t>
            </w:r>
          </w:p>
        </w:tc>
        <w:tc>
          <w:tcPr>
            <w:tcW w:w="2176" w:type="dxa"/>
            <w:tcBorders>
              <w:top w:val="single" w:sz="4" w:space="0" w:color="auto"/>
              <w:left w:val="single" w:sz="4" w:space="0" w:color="auto"/>
              <w:bottom w:val="single" w:sz="4" w:space="0" w:color="auto"/>
              <w:right w:val="single" w:sz="4" w:space="0" w:color="auto"/>
            </w:tcBorders>
            <w:hideMark/>
          </w:tcPr>
          <w:p w14:paraId="4D1D6C14" w14:textId="77777777" w:rsidR="00443CEA" w:rsidRPr="005B3723" w:rsidRDefault="00443CEA" w:rsidP="00360250">
            <w:pPr>
              <w:pStyle w:val="NormalWeb"/>
              <w:spacing w:before="120" w:beforeAutospacing="0" w:after="0" w:afterAutospacing="0"/>
              <w:ind w:left="170" w:right="170"/>
              <w:jc w:val="both"/>
              <w:rPr>
                <w:rFonts w:asciiTheme="minorHAnsi" w:hAnsiTheme="minorHAnsi"/>
                <w:b/>
                <w:bCs/>
                <w:color w:val="FF0000"/>
                <w:sz w:val="22"/>
                <w:szCs w:val="22"/>
                <w:lang w:eastAsia="en-US"/>
              </w:rPr>
            </w:pPr>
            <w:r w:rsidRPr="005B3723">
              <w:rPr>
                <w:rFonts w:asciiTheme="minorHAnsi" w:hAnsiTheme="minorHAnsi"/>
                <w:b/>
                <w:bCs/>
                <w:color w:val="FF0000"/>
                <w:sz w:val="22"/>
                <w:szCs w:val="22"/>
                <w:lang w:eastAsia="en-US"/>
              </w:rPr>
              <w:t>47</w:t>
            </w:r>
          </w:p>
        </w:tc>
        <w:tc>
          <w:tcPr>
            <w:tcW w:w="2099" w:type="dxa"/>
            <w:tcBorders>
              <w:top w:val="single" w:sz="4" w:space="0" w:color="auto"/>
              <w:left w:val="single" w:sz="4" w:space="0" w:color="auto"/>
              <w:bottom w:val="single" w:sz="4" w:space="0" w:color="auto"/>
              <w:right w:val="single" w:sz="4" w:space="0" w:color="auto"/>
            </w:tcBorders>
            <w:hideMark/>
          </w:tcPr>
          <w:p w14:paraId="7CC82789"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972</w:t>
            </w:r>
          </w:p>
        </w:tc>
      </w:tr>
      <w:tr w:rsidR="00443CEA" w14:paraId="2D7D8DC0" w14:textId="77777777" w:rsidTr="00360250">
        <w:tc>
          <w:tcPr>
            <w:tcW w:w="2204" w:type="dxa"/>
            <w:tcBorders>
              <w:top w:val="single" w:sz="4" w:space="0" w:color="auto"/>
              <w:left w:val="single" w:sz="4" w:space="0" w:color="auto"/>
              <w:bottom w:val="single" w:sz="4" w:space="0" w:color="auto"/>
              <w:right w:val="single" w:sz="4" w:space="0" w:color="auto"/>
            </w:tcBorders>
            <w:hideMark/>
          </w:tcPr>
          <w:p w14:paraId="4450CF2D"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HEA3</w:t>
            </w:r>
          </w:p>
        </w:tc>
        <w:tc>
          <w:tcPr>
            <w:tcW w:w="2089" w:type="dxa"/>
            <w:tcBorders>
              <w:top w:val="single" w:sz="4" w:space="0" w:color="auto"/>
              <w:left w:val="single" w:sz="4" w:space="0" w:color="auto"/>
              <w:bottom w:val="single" w:sz="4" w:space="0" w:color="auto"/>
              <w:right w:val="single" w:sz="4" w:space="0" w:color="auto"/>
            </w:tcBorders>
            <w:hideMark/>
          </w:tcPr>
          <w:p w14:paraId="6B28CF01"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972</w:t>
            </w:r>
          </w:p>
        </w:tc>
        <w:tc>
          <w:tcPr>
            <w:tcW w:w="2176" w:type="dxa"/>
            <w:tcBorders>
              <w:top w:val="single" w:sz="4" w:space="0" w:color="auto"/>
              <w:left w:val="single" w:sz="4" w:space="0" w:color="auto"/>
              <w:bottom w:val="single" w:sz="4" w:space="0" w:color="auto"/>
              <w:right w:val="single" w:sz="4" w:space="0" w:color="auto"/>
            </w:tcBorders>
            <w:hideMark/>
          </w:tcPr>
          <w:p w14:paraId="179A5B84" w14:textId="77777777" w:rsidR="00443CEA" w:rsidRPr="005B3723" w:rsidRDefault="00443CEA" w:rsidP="00360250">
            <w:pPr>
              <w:pStyle w:val="NormalWeb"/>
              <w:spacing w:before="120" w:beforeAutospacing="0" w:after="0" w:afterAutospacing="0"/>
              <w:ind w:left="170" w:right="170"/>
              <w:jc w:val="both"/>
              <w:rPr>
                <w:rFonts w:asciiTheme="minorHAnsi" w:hAnsiTheme="minorHAnsi"/>
                <w:b/>
                <w:bCs/>
                <w:color w:val="FF0000"/>
                <w:sz w:val="22"/>
                <w:szCs w:val="22"/>
                <w:lang w:eastAsia="en-US"/>
              </w:rPr>
            </w:pPr>
            <w:r w:rsidRPr="005B3723">
              <w:rPr>
                <w:rFonts w:asciiTheme="minorHAnsi" w:hAnsiTheme="minorHAnsi"/>
                <w:b/>
                <w:bCs/>
                <w:color w:val="FF0000"/>
                <w:sz w:val="22"/>
                <w:szCs w:val="22"/>
                <w:lang w:eastAsia="en-US"/>
              </w:rPr>
              <w:t xml:space="preserve">0 </w:t>
            </w:r>
          </w:p>
        </w:tc>
        <w:tc>
          <w:tcPr>
            <w:tcW w:w="2099" w:type="dxa"/>
            <w:tcBorders>
              <w:top w:val="single" w:sz="4" w:space="0" w:color="auto"/>
              <w:left w:val="single" w:sz="4" w:space="0" w:color="auto"/>
              <w:bottom w:val="single" w:sz="4" w:space="0" w:color="auto"/>
              <w:right w:val="single" w:sz="4" w:space="0" w:color="auto"/>
            </w:tcBorders>
            <w:hideMark/>
          </w:tcPr>
          <w:p w14:paraId="17B59E10" w14:textId="77777777" w:rsidR="00443CEA" w:rsidRDefault="00443CEA" w:rsidP="00360250">
            <w:pPr>
              <w:pStyle w:val="NormalWeb"/>
              <w:spacing w:before="120" w:beforeAutospacing="0" w:after="0" w:afterAutospacing="0"/>
              <w:ind w:left="170" w:right="170"/>
              <w:jc w:val="both"/>
              <w:rPr>
                <w:rFonts w:asciiTheme="minorHAnsi" w:hAnsiTheme="minorHAnsi"/>
                <w:sz w:val="22"/>
                <w:szCs w:val="22"/>
                <w:lang w:eastAsia="en-US"/>
              </w:rPr>
            </w:pPr>
            <w:r>
              <w:rPr>
                <w:rFonts w:asciiTheme="minorHAnsi" w:hAnsiTheme="minorHAnsi"/>
                <w:sz w:val="22"/>
                <w:szCs w:val="22"/>
                <w:lang w:eastAsia="en-US"/>
              </w:rPr>
              <w:t>972</w:t>
            </w:r>
          </w:p>
        </w:tc>
      </w:tr>
    </w:tbl>
    <w:p w14:paraId="44B3D298"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p>
    <w:p w14:paraId="41A2F4E0" w14:textId="77777777" w:rsidR="00443CEA" w:rsidRDefault="00443CEA" w:rsidP="001849B9">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 xml:space="preserve">La bonification indiciaire liée aux fonctions de directeur de SEGPA disparait donc complètement au bénéfice d’une indemnité compensatrice non soumise à retenue pour pension civile. </w:t>
      </w:r>
    </w:p>
    <w:p w14:paraId="2398FF2E" w14:textId="77777777" w:rsidR="00443CEA" w:rsidRDefault="00443CEA" w:rsidP="001849B9">
      <w:pPr>
        <w:pStyle w:val="NormalWeb"/>
        <w:spacing w:before="120" w:beforeAutospacing="0" w:after="0" w:afterAutospacing="0"/>
        <w:ind w:left="170" w:right="170"/>
        <w:jc w:val="both"/>
        <w:rPr>
          <w:rFonts w:asciiTheme="minorHAnsi" w:hAnsiTheme="minorHAnsi"/>
          <w:sz w:val="22"/>
          <w:szCs w:val="22"/>
        </w:rPr>
      </w:pPr>
    </w:p>
    <w:p w14:paraId="3F825E54" w14:textId="7AE6B0F8" w:rsidR="00443CEA" w:rsidRDefault="00443CEA" w:rsidP="00443CEA">
      <w:pPr>
        <w:pStyle w:val="NormalWeb"/>
        <w:numPr>
          <w:ilvl w:val="0"/>
          <w:numId w:val="1"/>
        </w:numPr>
        <w:spacing w:before="120" w:beforeAutospacing="0" w:after="0" w:afterAutospacing="0"/>
        <w:ind w:left="170" w:right="170"/>
        <w:jc w:val="both"/>
        <w:rPr>
          <w:rFonts w:asciiTheme="minorHAnsi" w:hAnsiTheme="minorHAnsi"/>
          <w:b/>
          <w:sz w:val="22"/>
          <w:szCs w:val="22"/>
        </w:rPr>
      </w:pPr>
      <w:r>
        <w:rPr>
          <w:rFonts w:asciiTheme="minorHAnsi" w:hAnsiTheme="minorHAnsi"/>
          <w:b/>
          <w:sz w:val="22"/>
          <w:szCs w:val="22"/>
        </w:rPr>
        <w:t xml:space="preserve">La réduction drastique et inopinée du montant de la pension d’un personnel </w:t>
      </w:r>
    </w:p>
    <w:p w14:paraId="07699576" w14:textId="77777777"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Les impacts sur la fin de carrière sont énormes malgré les termes rassurants de la note de service du 28 février.</w:t>
      </w:r>
    </w:p>
    <w:p w14:paraId="78977447" w14:textId="252BD15F"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 xml:space="preserve">Comme l’indemnité compensatrice </w:t>
      </w:r>
      <w:r w:rsidR="00860ED8">
        <w:rPr>
          <w:rFonts w:asciiTheme="minorHAnsi" w:hAnsiTheme="minorHAnsi"/>
          <w:sz w:val="22"/>
          <w:szCs w:val="22"/>
        </w:rPr>
        <w:t>est non</w:t>
      </w:r>
      <w:r>
        <w:rPr>
          <w:rFonts w:asciiTheme="minorHAnsi" w:hAnsiTheme="minorHAnsi"/>
          <w:sz w:val="22"/>
          <w:szCs w:val="22"/>
        </w:rPr>
        <w:t xml:space="preserve"> soumise à retenue pour pension civile, le directeur de SEGPA perd le bénéfice d’une pension majorée liée à l’allongement de sa durée d’activité. </w:t>
      </w:r>
    </w:p>
    <w:p w14:paraId="6554D2A2" w14:textId="15DD9E35" w:rsidR="00443CEA" w:rsidRDefault="00443CEA" w:rsidP="00443CEA">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 xml:space="preserve">Un directeur de SEGPA qui s’est engagé à </w:t>
      </w:r>
      <w:r w:rsidR="00820187">
        <w:rPr>
          <w:rFonts w:asciiTheme="minorHAnsi" w:hAnsiTheme="minorHAnsi"/>
          <w:sz w:val="22"/>
          <w:szCs w:val="22"/>
        </w:rPr>
        <w:t>mener à bien une mission</w:t>
      </w:r>
      <w:r>
        <w:rPr>
          <w:rFonts w:asciiTheme="minorHAnsi" w:hAnsiTheme="minorHAnsi"/>
          <w:sz w:val="22"/>
          <w:szCs w:val="22"/>
        </w:rPr>
        <w:t xml:space="preserve"> se trouve</w:t>
      </w:r>
      <w:r w:rsidR="00C41AF9">
        <w:rPr>
          <w:rFonts w:asciiTheme="minorHAnsi" w:hAnsiTheme="minorHAnsi"/>
          <w:sz w:val="22"/>
          <w:szCs w:val="22"/>
        </w:rPr>
        <w:t>ra</w:t>
      </w:r>
      <w:r>
        <w:rPr>
          <w:rFonts w:asciiTheme="minorHAnsi" w:hAnsiTheme="minorHAnsi"/>
          <w:sz w:val="22"/>
          <w:szCs w:val="22"/>
        </w:rPr>
        <w:t xml:space="preserve"> lésé</w:t>
      </w:r>
      <w:r w:rsidR="00C41AF9">
        <w:rPr>
          <w:rFonts w:asciiTheme="minorHAnsi" w:hAnsiTheme="minorHAnsi"/>
          <w:sz w:val="22"/>
          <w:szCs w:val="22"/>
        </w:rPr>
        <w:t xml:space="preserve">. Il serait même au vu de ce décret, préférable de quitter sa fonction </w:t>
      </w:r>
      <w:r w:rsidR="000E62FA">
        <w:rPr>
          <w:rFonts w:asciiTheme="minorHAnsi" w:hAnsiTheme="minorHAnsi"/>
          <w:sz w:val="22"/>
          <w:szCs w:val="22"/>
        </w:rPr>
        <w:t>en fin de carrière (avant l’accès au 2</w:t>
      </w:r>
      <w:r w:rsidR="000E62FA" w:rsidRPr="000E62FA">
        <w:rPr>
          <w:rFonts w:asciiTheme="minorHAnsi" w:hAnsiTheme="minorHAnsi"/>
          <w:sz w:val="22"/>
          <w:szCs w:val="22"/>
          <w:vertAlign w:val="superscript"/>
        </w:rPr>
        <w:t>ème</w:t>
      </w:r>
      <w:r w:rsidR="000E62FA">
        <w:rPr>
          <w:rFonts w:asciiTheme="minorHAnsi" w:hAnsiTheme="minorHAnsi"/>
          <w:sz w:val="22"/>
          <w:szCs w:val="22"/>
        </w:rPr>
        <w:t xml:space="preserve"> chevron) </w:t>
      </w:r>
      <w:r w:rsidR="00C41AF9">
        <w:rPr>
          <w:rFonts w:asciiTheme="minorHAnsi" w:hAnsiTheme="minorHAnsi"/>
          <w:sz w:val="22"/>
          <w:szCs w:val="22"/>
        </w:rPr>
        <w:t>et de par exemple devenir directrice / directeur d’école</w:t>
      </w:r>
      <w:r w:rsidR="000E62FA">
        <w:rPr>
          <w:rFonts w:asciiTheme="minorHAnsi" w:hAnsiTheme="minorHAnsi"/>
          <w:sz w:val="22"/>
          <w:szCs w:val="22"/>
        </w:rPr>
        <w:t xml:space="preserve"> afin de garder le bénéfice</w:t>
      </w:r>
      <w:r w:rsidR="00FC479A">
        <w:rPr>
          <w:rFonts w:asciiTheme="minorHAnsi" w:hAnsiTheme="minorHAnsi"/>
          <w:sz w:val="22"/>
          <w:szCs w:val="22"/>
        </w:rPr>
        <w:t xml:space="preserve"> de son indice et d’une bonification indiciaire</w:t>
      </w:r>
      <w:r w:rsidR="00CD780D">
        <w:rPr>
          <w:rFonts w:asciiTheme="minorHAnsi" w:hAnsiTheme="minorHAnsi"/>
          <w:sz w:val="22"/>
          <w:szCs w:val="22"/>
        </w:rPr>
        <w:t xml:space="preserve"> sans restriction.</w:t>
      </w:r>
    </w:p>
    <w:p w14:paraId="02218106" w14:textId="7A66DA2A" w:rsidR="00443CEA" w:rsidRPr="001849B9" w:rsidRDefault="00443CEA" w:rsidP="00443CEA">
      <w:pPr>
        <w:pStyle w:val="NormalWeb"/>
        <w:spacing w:before="120" w:beforeAutospacing="0" w:after="0" w:afterAutospacing="0"/>
        <w:ind w:left="170" w:right="170"/>
        <w:jc w:val="both"/>
        <w:rPr>
          <w:rFonts w:asciiTheme="minorHAnsi" w:hAnsiTheme="minorHAnsi"/>
          <w:b/>
          <w:bCs/>
          <w:strike/>
          <w:color w:val="0070C0"/>
          <w:sz w:val="22"/>
          <w:szCs w:val="22"/>
        </w:rPr>
      </w:pPr>
      <w:r>
        <w:rPr>
          <w:rFonts w:asciiTheme="minorHAnsi" w:hAnsiTheme="minorHAnsi"/>
          <w:b/>
          <w:sz w:val="22"/>
          <w:szCs w:val="22"/>
        </w:rPr>
        <w:lastRenderedPageBreak/>
        <w:t xml:space="preserve">Une perte de 53 points (1025 – 972) correspond </w:t>
      </w:r>
      <w:r w:rsidR="00A66168" w:rsidRPr="00182B5A">
        <w:rPr>
          <w:rFonts w:asciiTheme="minorHAnsi" w:hAnsiTheme="minorHAnsi"/>
          <w:b/>
          <w:sz w:val="22"/>
          <w:szCs w:val="22"/>
        </w:rPr>
        <w:t xml:space="preserve">à </w:t>
      </w:r>
      <w:r w:rsidR="001849B9" w:rsidRPr="00182B5A">
        <w:rPr>
          <w:rFonts w:asciiTheme="minorHAnsi" w:hAnsiTheme="minorHAnsi"/>
          <w:b/>
          <w:sz w:val="22"/>
          <w:szCs w:val="22"/>
        </w:rPr>
        <w:t>une perte d</w:t>
      </w:r>
      <w:r w:rsidR="00FE20D6" w:rsidRPr="00182B5A">
        <w:rPr>
          <w:rFonts w:asciiTheme="minorHAnsi" w:hAnsiTheme="minorHAnsi"/>
          <w:b/>
          <w:sz w:val="22"/>
          <w:szCs w:val="22"/>
        </w:rPr>
        <w:t>’</w:t>
      </w:r>
      <w:r w:rsidR="001849B9" w:rsidRPr="00182B5A">
        <w:rPr>
          <w:rFonts w:asciiTheme="minorHAnsi" w:hAnsiTheme="minorHAnsi"/>
          <w:b/>
          <w:sz w:val="22"/>
          <w:szCs w:val="22"/>
        </w:rPr>
        <w:t>e</w:t>
      </w:r>
      <w:r w:rsidR="00FE20D6" w:rsidRPr="00182B5A">
        <w:rPr>
          <w:rFonts w:asciiTheme="minorHAnsi" w:hAnsiTheme="minorHAnsi"/>
          <w:b/>
          <w:sz w:val="22"/>
          <w:szCs w:val="22"/>
        </w:rPr>
        <w:t>nviron</w:t>
      </w:r>
      <w:r w:rsidR="001849B9" w:rsidRPr="00182B5A">
        <w:rPr>
          <w:rFonts w:asciiTheme="minorHAnsi" w:hAnsiTheme="minorHAnsi"/>
          <w:b/>
          <w:sz w:val="22"/>
          <w:szCs w:val="22"/>
        </w:rPr>
        <w:t xml:space="preserve"> </w:t>
      </w:r>
      <w:r>
        <w:rPr>
          <w:rFonts w:asciiTheme="minorHAnsi" w:hAnsiTheme="minorHAnsi"/>
          <w:b/>
          <w:sz w:val="22"/>
          <w:szCs w:val="22"/>
        </w:rPr>
        <w:t>183 euros de pension net par mois</w:t>
      </w:r>
      <w:r w:rsidR="00182B5A">
        <w:rPr>
          <w:rFonts w:asciiTheme="minorHAnsi" w:hAnsiTheme="minorHAnsi"/>
          <w:b/>
          <w:sz w:val="22"/>
          <w:szCs w:val="22"/>
        </w:rPr>
        <w:t>.</w:t>
      </w:r>
      <w:r>
        <w:rPr>
          <w:rFonts w:asciiTheme="minorHAnsi" w:hAnsiTheme="minorHAnsi"/>
          <w:sz w:val="22"/>
          <w:szCs w:val="22"/>
        </w:rPr>
        <w:t xml:space="preserve"> </w:t>
      </w:r>
    </w:p>
    <w:p w14:paraId="3782E1DF" w14:textId="44465AB8" w:rsidR="0053494B" w:rsidRDefault="00443CEA" w:rsidP="00443CEA">
      <w:pPr>
        <w:pStyle w:val="NormalWeb"/>
        <w:spacing w:before="120" w:beforeAutospacing="0" w:after="0" w:afterAutospacing="0"/>
        <w:ind w:left="170" w:right="170"/>
        <w:jc w:val="both"/>
        <w:rPr>
          <w:rFonts w:ascii="Calibri" w:eastAsiaTheme="minorHAnsi" w:hAnsi="Calibri" w:cs="Calibri"/>
          <w:sz w:val="22"/>
          <w:szCs w:val="22"/>
          <w:lang w:eastAsia="en-US"/>
        </w:rPr>
      </w:pPr>
      <w:r>
        <w:rPr>
          <w:rFonts w:asciiTheme="minorHAnsi" w:hAnsiTheme="minorHAnsi"/>
          <w:sz w:val="22"/>
          <w:szCs w:val="22"/>
        </w:rPr>
        <w:t xml:space="preserve">Pour toutes ces raisons, je m’interroge sur la décision qui vient d’être </w:t>
      </w:r>
      <w:r w:rsidR="00CC72FB">
        <w:rPr>
          <w:rFonts w:asciiTheme="minorHAnsi" w:hAnsiTheme="minorHAnsi"/>
          <w:sz w:val="22"/>
          <w:szCs w:val="22"/>
        </w:rPr>
        <w:t xml:space="preserve">prise. </w:t>
      </w:r>
      <w:r w:rsidRPr="0053494B">
        <w:rPr>
          <w:rFonts w:ascii="Calibri" w:eastAsiaTheme="minorHAnsi" w:hAnsi="Calibri" w:cs="Calibri"/>
          <w:sz w:val="22"/>
          <w:szCs w:val="22"/>
          <w:lang w:eastAsia="en-US"/>
        </w:rPr>
        <w:t xml:space="preserve">Je veux exprimer ici ma surprise et ma déception d'assister, à l'érosion continue de la reconnaissance de l’État au terme de notre carrière et je sollicite </w:t>
      </w:r>
      <w:r w:rsidR="009670FC">
        <w:rPr>
          <w:rFonts w:ascii="Calibri" w:eastAsiaTheme="minorHAnsi" w:hAnsi="Calibri" w:cs="Calibri"/>
          <w:sz w:val="22"/>
          <w:szCs w:val="22"/>
          <w:lang w:eastAsia="en-US"/>
        </w:rPr>
        <w:t>le ré</w:t>
      </w:r>
      <w:r w:rsidR="001849B9">
        <w:rPr>
          <w:rFonts w:ascii="Calibri" w:eastAsiaTheme="minorHAnsi" w:hAnsi="Calibri" w:cs="Calibri"/>
          <w:sz w:val="22"/>
          <w:szCs w:val="22"/>
          <w:lang w:eastAsia="en-US"/>
        </w:rPr>
        <w:t>e</w:t>
      </w:r>
      <w:r w:rsidR="009670FC">
        <w:rPr>
          <w:rFonts w:ascii="Calibri" w:eastAsiaTheme="minorHAnsi" w:hAnsi="Calibri" w:cs="Calibri"/>
          <w:sz w:val="22"/>
          <w:szCs w:val="22"/>
          <w:lang w:eastAsia="en-US"/>
        </w:rPr>
        <w:t>xamen</w:t>
      </w:r>
      <w:r w:rsidRPr="0053494B">
        <w:rPr>
          <w:rFonts w:ascii="Calibri" w:eastAsiaTheme="minorHAnsi" w:hAnsi="Calibri" w:cs="Calibri"/>
          <w:sz w:val="22"/>
          <w:szCs w:val="22"/>
          <w:lang w:eastAsia="en-US"/>
        </w:rPr>
        <w:t xml:space="preserve"> de cette décision</w:t>
      </w:r>
      <w:r w:rsidR="0053494B">
        <w:rPr>
          <w:rFonts w:ascii="Calibri" w:eastAsiaTheme="minorHAnsi" w:hAnsi="Calibri" w:cs="Calibri"/>
          <w:sz w:val="22"/>
          <w:szCs w:val="22"/>
          <w:lang w:eastAsia="en-US"/>
        </w:rPr>
        <w:t xml:space="preserve"> afin de ne pas être pénalis</w:t>
      </w:r>
      <w:r w:rsidR="001849B9">
        <w:rPr>
          <w:rFonts w:ascii="Calibri" w:eastAsiaTheme="minorHAnsi" w:hAnsi="Calibri" w:cs="Calibri"/>
          <w:sz w:val="22"/>
          <w:szCs w:val="22"/>
          <w:lang w:eastAsia="en-US"/>
        </w:rPr>
        <w:t>é</w:t>
      </w:r>
      <w:r w:rsidR="0053494B">
        <w:rPr>
          <w:rFonts w:ascii="Calibri" w:eastAsiaTheme="minorHAnsi" w:hAnsi="Calibri" w:cs="Calibri"/>
          <w:sz w:val="22"/>
          <w:szCs w:val="22"/>
          <w:lang w:eastAsia="en-US"/>
        </w:rPr>
        <w:t xml:space="preserve"> dans les années à venir.</w:t>
      </w:r>
    </w:p>
    <w:p w14:paraId="0958503D" w14:textId="77777777" w:rsidR="00CC72FB" w:rsidRDefault="00CC72FB" w:rsidP="00CC72FB">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Je vous remercie, Madame la Rectrice, de l’intérêt que vous porterez à la lecture de cette réclamation.</w:t>
      </w:r>
    </w:p>
    <w:p w14:paraId="331FED52" w14:textId="77777777" w:rsidR="0053494B" w:rsidRDefault="0053494B" w:rsidP="0053494B">
      <w:pPr>
        <w:pStyle w:val="NormalWeb"/>
        <w:spacing w:before="120" w:beforeAutospacing="0" w:after="0" w:afterAutospacing="0"/>
        <w:ind w:left="170" w:right="170"/>
        <w:jc w:val="both"/>
        <w:rPr>
          <w:rFonts w:asciiTheme="minorHAnsi" w:hAnsiTheme="minorHAnsi"/>
          <w:sz w:val="22"/>
          <w:szCs w:val="22"/>
        </w:rPr>
      </w:pPr>
      <w:r>
        <w:rPr>
          <w:rFonts w:asciiTheme="minorHAnsi" w:hAnsiTheme="minorHAnsi"/>
          <w:sz w:val="22"/>
          <w:szCs w:val="22"/>
        </w:rPr>
        <w:t>Dans l’attente d’un retour, je reste à votre entière disposition et vous prie d’agréer, Mme la Rectrice, l’assurance de ma parfaite considération.</w:t>
      </w:r>
    </w:p>
    <w:p w14:paraId="05DF7EC3" w14:textId="1F134CCA" w:rsidR="00443CEA" w:rsidRPr="0053494B" w:rsidRDefault="00443CEA" w:rsidP="00443CEA">
      <w:pPr>
        <w:pStyle w:val="NormalWeb"/>
        <w:spacing w:before="120" w:beforeAutospacing="0" w:after="0" w:afterAutospacing="0"/>
        <w:ind w:left="170" w:right="170"/>
        <w:jc w:val="both"/>
        <w:rPr>
          <w:rFonts w:ascii="Calibri" w:eastAsiaTheme="minorHAnsi" w:hAnsi="Calibri" w:cs="Calibri"/>
          <w:sz w:val="22"/>
          <w:szCs w:val="22"/>
          <w:lang w:eastAsia="en-US"/>
        </w:rPr>
      </w:pPr>
      <w:r w:rsidRPr="0053494B">
        <w:rPr>
          <w:rFonts w:ascii="Calibri" w:eastAsiaTheme="minorHAnsi" w:hAnsi="Calibri" w:cs="Calibri"/>
          <w:sz w:val="22"/>
          <w:szCs w:val="22"/>
          <w:lang w:eastAsia="en-US"/>
        </w:rPr>
        <w:br/>
        <w:t>Bien à vous,</w:t>
      </w:r>
    </w:p>
    <w:p w14:paraId="078C2783" w14:textId="7CE3E323" w:rsidR="00443CEA" w:rsidRPr="00443CEA" w:rsidRDefault="00443CEA" w:rsidP="00443CEA">
      <w:pPr>
        <w:pStyle w:val="NormalWeb"/>
        <w:spacing w:before="120" w:beforeAutospacing="0" w:after="0" w:afterAutospacing="0"/>
        <w:ind w:left="170" w:right="170"/>
        <w:jc w:val="both"/>
        <w:rPr>
          <w:rFonts w:asciiTheme="minorHAnsi" w:hAnsiTheme="minorHAnsi"/>
          <w:b/>
          <w:bCs/>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15E78">
        <w:rPr>
          <w:rFonts w:asciiTheme="minorHAnsi" w:hAnsiTheme="minorHAnsi"/>
          <w:b/>
          <w:bCs/>
          <w:sz w:val="22"/>
          <w:szCs w:val="22"/>
        </w:rPr>
        <w:tab/>
      </w:r>
      <w:r w:rsidRPr="00F15E78">
        <w:rPr>
          <w:rFonts w:asciiTheme="minorHAnsi" w:hAnsiTheme="minorHAnsi"/>
          <w:b/>
          <w:bCs/>
          <w:sz w:val="22"/>
          <w:szCs w:val="22"/>
          <w:highlight w:val="yellow"/>
        </w:rPr>
        <w:t>Nom / Prénom</w:t>
      </w:r>
    </w:p>
    <w:p w14:paraId="076CECD1" w14:textId="77777777" w:rsidR="00443CEA" w:rsidRPr="00BD51B2" w:rsidRDefault="00443CEA" w:rsidP="00A418DF">
      <w:pPr>
        <w:spacing w:line="240" w:lineRule="auto"/>
        <w:rPr>
          <w:rFonts w:ascii="Calibri" w:hAnsi="Calibri" w:cs="Calibri"/>
        </w:rPr>
      </w:pPr>
    </w:p>
    <w:p w14:paraId="3058500A" w14:textId="5D2BF5B2" w:rsidR="00F41286" w:rsidRDefault="00F41286" w:rsidP="00443CEA">
      <w:pPr>
        <w:spacing w:line="240" w:lineRule="auto"/>
      </w:pPr>
      <w:r w:rsidRPr="00BD51B2">
        <w:rPr>
          <w:rFonts w:ascii="Calibri" w:hAnsi="Calibri" w:cs="Calibri"/>
        </w:rPr>
        <w:br/>
      </w:r>
      <w:r w:rsidRPr="00BD51B2">
        <w:rPr>
          <w:rFonts w:ascii="Calibri" w:hAnsi="Calibri" w:cs="Calibri"/>
        </w:rPr>
        <w:br/>
      </w:r>
    </w:p>
    <w:sectPr w:rsidR="00F41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2161"/>
    <w:multiLevelType w:val="hybridMultilevel"/>
    <w:tmpl w:val="F0881E26"/>
    <w:lvl w:ilvl="0" w:tplc="F36407DA">
      <w:start w:val="1"/>
      <w:numFmt w:val="decimal"/>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216703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86"/>
    <w:rsid w:val="000414B2"/>
    <w:rsid w:val="00047411"/>
    <w:rsid w:val="00075210"/>
    <w:rsid w:val="000E62FA"/>
    <w:rsid w:val="00182B5A"/>
    <w:rsid w:val="001849B9"/>
    <w:rsid w:val="00331D31"/>
    <w:rsid w:val="00397067"/>
    <w:rsid w:val="00402468"/>
    <w:rsid w:val="00443CEA"/>
    <w:rsid w:val="0045556A"/>
    <w:rsid w:val="004A5EA9"/>
    <w:rsid w:val="004B1648"/>
    <w:rsid w:val="004E7376"/>
    <w:rsid w:val="0053494B"/>
    <w:rsid w:val="00566C02"/>
    <w:rsid w:val="005B3723"/>
    <w:rsid w:val="00644A54"/>
    <w:rsid w:val="00820187"/>
    <w:rsid w:val="008517C1"/>
    <w:rsid w:val="00860ED8"/>
    <w:rsid w:val="0092748C"/>
    <w:rsid w:val="0094425B"/>
    <w:rsid w:val="009449F0"/>
    <w:rsid w:val="009670FC"/>
    <w:rsid w:val="009A283C"/>
    <w:rsid w:val="00A418DF"/>
    <w:rsid w:val="00A66168"/>
    <w:rsid w:val="00AA1735"/>
    <w:rsid w:val="00B025CF"/>
    <w:rsid w:val="00B238A6"/>
    <w:rsid w:val="00B314C3"/>
    <w:rsid w:val="00C41AF9"/>
    <w:rsid w:val="00C73B8D"/>
    <w:rsid w:val="00C75610"/>
    <w:rsid w:val="00CC72FB"/>
    <w:rsid w:val="00CD780D"/>
    <w:rsid w:val="00D57003"/>
    <w:rsid w:val="00E03700"/>
    <w:rsid w:val="00E21118"/>
    <w:rsid w:val="00E51AC4"/>
    <w:rsid w:val="00E66C65"/>
    <w:rsid w:val="00E7619E"/>
    <w:rsid w:val="00F41286"/>
    <w:rsid w:val="00FC479A"/>
    <w:rsid w:val="00FE2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4941"/>
  <w15:chartTrackingRefBased/>
  <w15:docId w15:val="{951C833A-5BC8-40B1-895B-B8894752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517C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4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3CE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5407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BAIP Cote d'opale</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dirsegpa</dc:creator>
  <cp:keywords/>
  <dc:description/>
  <cp:lastModifiedBy>julie duhamel</cp:lastModifiedBy>
  <cp:revision>2</cp:revision>
  <dcterms:created xsi:type="dcterms:W3CDTF">2023-03-28T20:39:00Z</dcterms:created>
  <dcterms:modified xsi:type="dcterms:W3CDTF">2023-03-28T20:39:00Z</dcterms:modified>
</cp:coreProperties>
</file>