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A46" w:rsidRPr="00EE643B" w:rsidRDefault="00257A46" w:rsidP="00A35779">
      <w:pPr>
        <w:widowControl/>
        <w:autoSpaceDN/>
        <w:jc w:val="center"/>
        <w:textAlignment w:val="auto"/>
        <w:rPr>
          <w:rFonts w:ascii="Arial" w:eastAsia="Times New Roman" w:hAnsi="Arial"/>
          <w:b/>
          <w:bCs/>
          <w:kern w:val="0"/>
          <w:sz w:val="20"/>
          <w:szCs w:val="20"/>
          <w:lang w:eastAsia="fr-FR" w:bidi="ar-SA"/>
        </w:rPr>
      </w:pPr>
      <w:r w:rsidRPr="00EE643B">
        <w:rPr>
          <w:rFonts w:ascii="Arial" w:hAnsi="Arial"/>
          <w:noProof/>
          <w:sz w:val="20"/>
          <w:szCs w:val="20"/>
          <w:lang w:eastAsia="fr-FR" w:bidi="ar-SA"/>
        </w:rPr>
        <w:drawing>
          <wp:anchor distT="0" distB="0" distL="114300" distR="114300" simplePos="0" relativeHeight="251660288" behindDoc="1" locked="0" layoutInCell="1" allowOverlap="1">
            <wp:simplePos x="0" y="0"/>
            <wp:positionH relativeFrom="column">
              <wp:posOffset>-1299087</wp:posOffset>
            </wp:positionH>
            <wp:positionV relativeFrom="paragraph">
              <wp:posOffset>80645</wp:posOffset>
            </wp:positionV>
            <wp:extent cx="1412235" cy="1541148"/>
            <wp:effectExtent l="0" t="0" r="0" b="1902"/>
            <wp:wrapNone/>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412235" cy="1541148"/>
                    </a:xfrm>
                    <a:prstGeom prst="rect">
                      <a:avLst/>
                    </a:prstGeom>
                    <a:noFill/>
                    <a:ln>
                      <a:noFill/>
                      <a:prstDash/>
                    </a:ln>
                  </pic:spPr>
                </pic:pic>
              </a:graphicData>
            </a:graphic>
          </wp:anchor>
        </w:drawing>
      </w:r>
      <w:r w:rsidR="005D27FD" w:rsidRPr="00EE643B">
        <w:rPr>
          <w:rFonts w:ascii="Arial" w:eastAsia="Times New Roman" w:hAnsi="Arial"/>
          <w:b/>
          <w:bCs/>
          <w:kern w:val="0"/>
          <w:sz w:val="20"/>
          <w:szCs w:val="20"/>
          <w:lang w:eastAsia="fr-FR" w:bidi="ar-SA"/>
        </w:rPr>
        <w:t>MOU</w:t>
      </w:r>
      <w:r w:rsidR="00907600" w:rsidRPr="00EE643B">
        <w:rPr>
          <w:rFonts w:ascii="Arial" w:eastAsia="Times New Roman" w:hAnsi="Arial"/>
          <w:b/>
          <w:bCs/>
          <w:kern w:val="0"/>
          <w:sz w:val="20"/>
          <w:szCs w:val="20"/>
          <w:lang w:eastAsia="fr-FR" w:bidi="ar-SA"/>
        </w:rPr>
        <w:t>VEMENT INTERDEPARTEMENTAL</w:t>
      </w:r>
      <w:r w:rsidR="0027096F" w:rsidRPr="00EE643B">
        <w:rPr>
          <w:rFonts w:ascii="Arial" w:eastAsia="Times New Roman" w:hAnsi="Arial"/>
          <w:b/>
          <w:bCs/>
          <w:kern w:val="0"/>
          <w:sz w:val="20"/>
          <w:szCs w:val="20"/>
          <w:lang w:eastAsia="fr-FR" w:bidi="ar-SA"/>
        </w:rPr>
        <w:br/>
      </w:r>
      <w:r w:rsidR="005D27FD" w:rsidRPr="00EE643B">
        <w:rPr>
          <w:rFonts w:ascii="Arial" w:eastAsia="Times New Roman" w:hAnsi="Arial"/>
          <w:b/>
          <w:bCs/>
          <w:kern w:val="0"/>
          <w:sz w:val="20"/>
          <w:szCs w:val="20"/>
          <w:lang w:eastAsia="fr-FR" w:bidi="ar-SA"/>
        </w:rPr>
        <w:t>Rentrée scolaire</w:t>
      </w:r>
      <w:r w:rsidRPr="00EE643B">
        <w:rPr>
          <w:rFonts w:ascii="Arial" w:eastAsia="Times New Roman" w:hAnsi="Arial"/>
          <w:b/>
          <w:bCs/>
          <w:kern w:val="0"/>
          <w:sz w:val="20"/>
          <w:szCs w:val="20"/>
          <w:lang w:eastAsia="fr-FR" w:bidi="ar-SA"/>
        </w:rPr>
        <w:t xml:space="preserve"> 20</w:t>
      </w:r>
      <w:r w:rsidR="00D54218" w:rsidRPr="00EE643B">
        <w:rPr>
          <w:rFonts w:ascii="Arial" w:eastAsia="Times New Roman" w:hAnsi="Arial"/>
          <w:b/>
          <w:bCs/>
          <w:kern w:val="0"/>
          <w:sz w:val="20"/>
          <w:szCs w:val="20"/>
          <w:lang w:eastAsia="fr-FR" w:bidi="ar-SA"/>
        </w:rPr>
        <w:t>20</w:t>
      </w:r>
    </w:p>
    <w:p w:rsidR="007736A2" w:rsidRPr="00EE643B" w:rsidRDefault="007736A2" w:rsidP="00EE643B">
      <w:pPr>
        <w:widowControl/>
        <w:autoSpaceDN/>
        <w:jc w:val="both"/>
        <w:textAlignment w:val="auto"/>
        <w:rPr>
          <w:rFonts w:ascii="Arial" w:eastAsia="Times New Roman" w:hAnsi="Arial"/>
          <w:b/>
          <w:bCs/>
          <w:kern w:val="0"/>
          <w:sz w:val="20"/>
          <w:szCs w:val="20"/>
          <w:lang w:eastAsia="fr-FR" w:bidi="ar-SA"/>
        </w:rPr>
      </w:pPr>
    </w:p>
    <w:p w:rsidR="00257A46" w:rsidRPr="00EE643B" w:rsidRDefault="00257A46" w:rsidP="00A35779">
      <w:pPr>
        <w:widowControl/>
        <w:autoSpaceDN/>
        <w:jc w:val="center"/>
        <w:textAlignment w:val="auto"/>
        <w:rPr>
          <w:rFonts w:ascii="Arial" w:eastAsia="Times New Roman" w:hAnsi="Arial"/>
          <w:kern w:val="0"/>
          <w:sz w:val="20"/>
          <w:szCs w:val="20"/>
          <w:lang w:eastAsia="fr-FR" w:bidi="ar-SA"/>
        </w:rPr>
      </w:pPr>
      <w:r w:rsidRPr="00EE643B">
        <w:rPr>
          <w:rFonts w:ascii="Arial" w:eastAsia="Times New Roman" w:hAnsi="Arial"/>
          <w:b/>
          <w:bCs/>
          <w:i/>
          <w:iCs/>
          <w:kern w:val="0"/>
          <w:sz w:val="20"/>
          <w:szCs w:val="20"/>
          <w:lang w:eastAsia="fr-FR" w:bidi="ar-SA"/>
        </w:rPr>
        <w:t>Eléments de calcul du barème</w:t>
      </w:r>
    </w:p>
    <w:p w:rsidR="009B420D" w:rsidRPr="00EE643B" w:rsidRDefault="009B420D" w:rsidP="00EE643B">
      <w:pPr>
        <w:pStyle w:val="Default"/>
        <w:suppressAutoHyphens/>
        <w:jc w:val="both"/>
        <w:rPr>
          <w:color w:val="auto"/>
          <w:sz w:val="20"/>
          <w:szCs w:val="20"/>
        </w:rPr>
      </w:pPr>
    </w:p>
    <w:p w:rsidR="00CE77D4" w:rsidRPr="00EE643B" w:rsidRDefault="00CE77D4" w:rsidP="00EE643B">
      <w:pPr>
        <w:pStyle w:val="Default"/>
        <w:suppressAutoHyphens/>
        <w:jc w:val="both"/>
        <w:rPr>
          <w:color w:val="auto"/>
          <w:sz w:val="20"/>
          <w:szCs w:val="20"/>
        </w:rPr>
      </w:pPr>
    </w:p>
    <w:p w:rsidR="00907600" w:rsidRPr="00EE643B" w:rsidRDefault="00907600" w:rsidP="00EE643B">
      <w:pPr>
        <w:pStyle w:val="Default"/>
        <w:suppressAutoHyphens/>
        <w:jc w:val="both"/>
        <w:rPr>
          <w:color w:val="auto"/>
          <w:sz w:val="20"/>
          <w:szCs w:val="20"/>
        </w:rPr>
      </w:pPr>
    </w:p>
    <w:p w:rsidR="000C4A93" w:rsidRPr="00EE643B" w:rsidRDefault="005600D1" w:rsidP="00EE643B">
      <w:pPr>
        <w:pStyle w:val="western"/>
        <w:suppressAutoHyphens/>
        <w:spacing w:before="0" w:after="0"/>
        <w:jc w:val="both"/>
        <w:rPr>
          <w:color w:val="auto"/>
        </w:rPr>
      </w:pPr>
      <w:r w:rsidRPr="00EE643B">
        <w:rPr>
          <w:color w:val="auto"/>
        </w:rPr>
        <w:t>Réf. : N</w:t>
      </w:r>
      <w:r w:rsidR="00907600" w:rsidRPr="00EE643B">
        <w:rPr>
          <w:color w:val="auto"/>
        </w:rPr>
        <w:t>ote de service ministérielle n</w:t>
      </w:r>
      <w:r w:rsidR="000C4A93" w:rsidRPr="00EE643B">
        <w:rPr>
          <w:color w:val="auto"/>
        </w:rPr>
        <w:t xml:space="preserve">° </w:t>
      </w:r>
      <w:r w:rsidR="000C4A93" w:rsidRPr="00EE643B">
        <w:rPr>
          <w:bCs/>
          <w:color w:val="auto"/>
        </w:rPr>
        <w:t>2019-163 du 13-11-2019 (BO spécial n° du 14 novembre 2019)</w:t>
      </w:r>
    </w:p>
    <w:p w:rsidR="00907600" w:rsidRPr="00EE643B" w:rsidRDefault="00907600" w:rsidP="00EE643B">
      <w:pPr>
        <w:pStyle w:val="Default"/>
        <w:suppressAutoHyphens/>
        <w:jc w:val="both"/>
        <w:rPr>
          <w:b/>
          <w:bCs/>
          <w:color w:val="auto"/>
          <w:sz w:val="20"/>
          <w:szCs w:val="20"/>
        </w:rPr>
      </w:pPr>
    </w:p>
    <w:p w:rsidR="00631A26" w:rsidRPr="00631A26" w:rsidRDefault="00631A26" w:rsidP="00EE643B">
      <w:pPr>
        <w:widowControl/>
        <w:autoSpaceDN/>
        <w:jc w:val="both"/>
        <w:textAlignment w:val="auto"/>
        <w:rPr>
          <w:rFonts w:ascii="Arial" w:eastAsia="Times New Roman" w:hAnsi="Arial"/>
          <w:b/>
          <w:kern w:val="0"/>
          <w:sz w:val="20"/>
          <w:szCs w:val="20"/>
          <w:lang w:eastAsia="fr-FR" w:bidi="ar-SA"/>
        </w:rPr>
      </w:pPr>
      <w:r w:rsidRPr="00631A26">
        <w:rPr>
          <w:rFonts w:ascii="Arial" w:eastAsia="Times New Roman" w:hAnsi="Arial"/>
          <w:b/>
          <w:kern w:val="0"/>
          <w:sz w:val="20"/>
          <w:szCs w:val="20"/>
          <w:lang w:eastAsia="fr-FR" w:bidi="ar-SA"/>
        </w:rPr>
        <w:t>Annexe I - Les éléments de valorisation liés au rapprochement de conjoints séparés pour des raisons professionnelles ou au rapprochement avec le détenteur de l'autorité parentale conjointe</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Ces priorités sont définies par l'article 60 de la loi du 11 janvier 1984 modifiée et par le décret du 25 avril 2018.</w:t>
      </w:r>
    </w:p>
    <w:p w:rsid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Dans toute la mesure compatible avec le bon fonctionnement du service, les affectations prononcées doivent tenir compte des demandes formulées par les intéressés et de leur situation de famille.</w:t>
      </w:r>
    </w:p>
    <w:p w:rsidR="00A72F51" w:rsidRPr="00631A26" w:rsidRDefault="00A72F51" w:rsidP="00EE643B">
      <w:pPr>
        <w:widowControl/>
        <w:autoSpaceDN/>
        <w:jc w:val="both"/>
        <w:textAlignment w:val="auto"/>
        <w:rPr>
          <w:rFonts w:ascii="Arial" w:eastAsia="Times New Roman" w:hAnsi="Arial"/>
          <w:kern w:val="0"/>
          <w:sz w:val="20"/>
          <w:szCs w:val="20"/>
          <w:lang w:eastAsia="fr-FR" w:bidi="ar-SA"/>
        </w:rPr>
      </w:pP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I.1 Demandes formulées au titre du rapprochement de conjoints séparés pour des raisons professionnelles</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EE643B">
        <w:rPr>
          <w:rFonts w:ascii="Arial" w:eastAsia="Times New Roman" w:hAnsi="Arial"/>
          <w:b/>
          <w:bCs/>
          <w:kern w:val="0"/>
          <w:sz w:val="20"/>
          <w:szCs w:val="20"/>
          <w:lang w:eastAsia="fr-FR" w:bidi="ar-SA"/>
        </w:rPr>
        <w:t>Cette bonification concerne les candidats séparés de leur conjoint(e) pour des raisons professionnelles.</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Pour bénéficier de ces points de rapprochement de conjoints, doit être demandé en premier vœu le département où le conjoint exerce son activité professionnelle principale ou est inscrit à Pôle Emploi, les autres vœux éventuels portant nécessairement sur des départements limitrophes.</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Lorsque le conjoint exerce dans un pays étranger limitrophe de la France, les points pour rapprochement sont attribués pour un des départements frontaliers, le plus proche de l'adresse professionnelle du conjoint (Allemagne, Andorre, Belgique, Espagne, Italie, Luxembourg, Monaco et la Suisse), complétés le cas échéant par les départements limitrophes à ce département frontalier.</w:t>
      </w:r>
    </w:p>
    <w:p w:rsid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Dans les conditions décrites au paragraphe II.5.1.a, les demandes de rapprochement de conjoints sont recevables jusqu'à la date de clôture du dépôt des demandes dans les directions des services départementaux de l'éducation nationale. L'autorité parentale conjointe est traitée de la même manière (cf. II.5.1.3).</w:t>
      </w:r>
    </w:p>
    <w:p w:rsidR="00A72F51" w:rsidRPr="00631A26" w:rsidRDefault="00A72F51" w:rsidP="00EE643B">
      <w:pPr>
        <w:widowControl/>
        <w:autoSpaceDN/>
        <w:jc w:val="both"/>
        <w:textAlignment w:val="auto"/>
        <w:rPr>
          <w:rFonts w:ascii="Arial" w:eastAsia="Times New Roman" w:hAnsi="Arial"/>
          <w:kern w:val="0"/>
          <w:sz w:val="20"/>
          <w:szCs w:val="20"/>
          <w:lang w:eastAsia="fr-FR" w:bidi="ar-SA"/>
        </w:rPr>
      </w:pP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I.1.1 Bonification rapprochement de conjoints </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- 150 points sont accordés au titre du rapprochement de conjoints pour le département de résidence professionnelle du conjoint saisi obligatoirement en premier vœu et les départements limitrophes à ce premier vœu.</w:t>
      </w:r>
    </w:p>
    <w:p w:rsid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À cette bonification, peuvent s'ajouter une bonification enfant(s) à charge et/ou enfant(s) à naître et/ou une bonification année(s) de séparation.</w:t>
      </w:r>
    </w:p>
    <w:p w:rsidR="00A72F51" w:rsidRPr="00631A26" w:rsidRDefault="00A72F51" w:rsidP="00EE643B">
      <w:pPr>
        <w:widowControl/>
        <w:autoSpaceDN/>
        <w:jc w:val="both"/>
        <w:textAlignment w:val="auto"/>
        <w:rPr>
          <w:rFonts w:ascii="Arial" w:eastAsia="Times New Roman" w:hAnsi="Arial"/>
          <w:kern w:val="0"/>
          <w:sz w:val="20"/>
          <w:szCs w:val="20"/>
          <w:lang w:eastAsia="fr-FR" w:bidi="ar-SA"/>
        </w:rPr>
      </w:pP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I.1.2 Bonification enfant(s) à charge et/ou enfant(s) à naître</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 xml:space="preserve">- 50 points sont accordés par enfant. Les enfants doivent être âgés </w:t>
      </w:r>
      <w:r w:rsidRPr="00EE643B">
        <w:rPr>
          <w:rFonts w:ascii="Arial" w:eastAsia="Times New Roman" w:hAnsi="Arial"/>
          <w:b/>
          <w:bCs/>
          <w:kern w:val="0"/>
          <w:sz w:val="20"/>
          <w:szCs w:val="20"/>
          <w:lang w:eastAsia="fr-FR" w:bidi="ar-SA"/>
        </w:rPr>
        <w:t>de moins de 18 ans au 1er septembre 2020</w:t>
      </w:r>
      <w:r w:rsidRPr="00631A26">
        <w:rPr>
          <w:rFonts w:ascii="Arial" w:eastAsia="Times New Roman" w:hAnsi="Arial"/>
          <w:kern w:val="0"/>
          <w:sz w:val="20"/>
          <w:szCs w:val="20"/>
          <w:lang w:eastAsia="fr-FR" w:bidi="ar-SA"/>
        </w:rPr>
        <w:t>.</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Un enfant est à charge dès lors qu'il réside habituellement au domicile d'un des deux parents et que celui-ci assure financièrement son entretien sans qu'il soit nécessaire de justifier d'un lien de parenté. Il doit être déclaré sur le foyer fiscal de l'agent.</w:t>
      </w:r>
    </w:p>
    <w:p w:rsid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Ouvre droit également à cette bonification, l'enfant à naître.</w:t>
      </w:r>
    </w:p>
    <w:p w:rsidR="00A72F51" w:rsidRPr="00631A26" w:rsidRDefault="00A72F51" w:rsidP="00EE643B">
      <w:pPr>
        <w:widowControl/>
        <w:autoSpaceDN/>
        <w:jc w:val="both"/>
        <w:textAlignment w:val="auto"/>
        <w:rPr>
          <w:rFonts w:ascii="Arial" w:eastAsia="Times New Roman" w:hAnsi="Arial"/>
          <w:kern w:val="0"/>
          <w:sz w:val="20"/>
          <w:szCs w:val="20"/>
          <w:lang w:eastAsia="fr-FR" w:bidi="ar-SA"/>
        </w:rPr>
      </w:pPr>
    </w:p>
    <w:p w:rsidR="00A72F51"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I.1.3 Bonification année(s) de séparation :</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EE643B">
        <w:rPr>
          <w:rFonts w:ascii="Arial" w:eastAsia="Times New Roman" w:hAnsi="Arial"/>
          <w:b/>
          <w:bCs/>
          <w:kern w:val="0"/>
          <w:sz w:val="20"/>
          <w:szCs w:val="20"/>
          <w:lang w:eastAsia="fr-FR" w:bidi="ar-SA"/>
        </w:rPr>
        <w:t>Agents en activité :</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- 50 points sont accordés pour la première année de séparation ;</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- 200 points sont accordés pour deux ans de séparation ;</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- 350 points sont accordés pour trois ans de séparation ;</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- 450 points sont accordés pour quatre ans et plus de séparation.</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EE643B">
        <w:rPr>
          <w:rFonts w:ascii="Arial" w:eastAsia="Times New Roman" w:hAnsi="Arial"/>
          <w:b/>
          <w:bCs/>
          <w:kern w:val="0"/>
          <w:sz w:val="20"/>
          <w:szCs w:val="20"/>
          <w:lang w:eastAsia="fr-FR" w:bidi="ar-SA"/>
        </w:rPr>
        <w:t>Agents placés en congé parental ou en disponibilité pour suivre le conjoint :</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  25 points sont accordés pour la première année de séparation soit 0,5 année de séparation ;</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  50 points sont accordés pour deux ans de séparation soit 1 année de séparation ;</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  75 points sont accordés pour trois ans de séparation soit 1,5 année de séparation ;</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- 200 points sont accordés pour quatre ans et plus de séparation soit 2 années de séparation.</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 xml:space="preserve">Lorsqu'un candidat exerce son activité professionnelle dans un département d'une académie non </w:t>
      </w:r>
      <w:proofErr w:type="gramStart"/>
      <w:r w:rsidRPr="00631A26">
        <w:rPr>
          <w:rFonts w:ascii="Arial" w:eastAsia="Times New Roman" w:hAnsi="Arial"/>
          <w:kern w:val="0"/>
          <w:sz w:val="20"/>
          <w:szCs w:val="20"/>
          <w:lang w:eastAsia="fr-FR" w:bidi="ar-SA"/>
        </w:rPr>
        <w:t>limitrophe</w:t>
      </w:r>
      <w:r w:rsidRPr="00EE643B">
        <w:rPr>
          <w:rFonts w:ascii="Arial" w:eastAsia="Times New Roman" w:hAnsi="Arial"/>
          <w:kern w:val="0"/>
          <w:sz w:val="20"/>
          <w:szCs w:val="20"/>
          <w:lang w:eastAsia="fr-FR" w:bidi="ar-SA"/>
        </w:rPr>
        <w:t>[</w:t>
      </w:r>
      <w:proofErr w:type="gramEnd"/>
      <w:r w:rsidRPr="00EE643B">
        <w:rPr>
          <w:rFonts w:ascii="Arial" w:eastAsia="Times New Roman" w:hAnsi="Arial"/>
          <w:kern w:val="0"/>
          <w:sz w:val="20"/>
          <w:szCs w:val="20"/>
          <w:lang w:eastAsia="fr-FR" w:bidi="ar-SA"/>
        </w:rPr>
        <w:t>1]</w:t>
      </w:r>
      <w:r w:rsidRPr="00631A26">
        <w:rPr>
          <w:rFonts w:ascii="Arial" w:eastAsia="Times New Roman" w:hAnsi="Arial"/>
          <w:kern w:val="0"/>
          <w:sz w:val="20"/>
          <w:szCs w:val="20"/>
          <w:lang w:eastAsia="fr-FR" w:bidi="ar-SA"/>
        </w:rPr>
        <w:t xml:space="preserve"> de celle de son conjoint, une majoration forfaitaire de 80 points s'ajoute à la </w:t>
      </w:r>
      <w:r w:rsidRPr="00631A26">
        <w:rPr>
          <w:rFonts w:ascii="Arial" w:eastAsia="Times New Roman" w:hAnsi="Arial"/>
          <w:kern w:val="0"/>
          <w:sz w:val="20"/>
          <w:szCs w:val="20"/>
          <w:lang w:eastAsia="fr-FR" w:bidi="ar-SA"/>
        </w:rPr>
        <w:lastRenderedPageBreak/>
        <w:t>bonification « année(s) de séparation » dès lors que cette dernière est au moins égale à six mois.</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À titre d'exemple, un candidat qui exerce dans le département de la Charente — académie de Poitiers — et qui est séparé de sa conjointe depuis deux ans qui travaille dans le département du Tarn — académie de Toulouse non limitrophe à Poitiers — verra la majoration de 80 points s'appliquer sur son vœu n°1 et le cas échéant aux départements limitrophes à ce vœu préférentiel.</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Le tableau suivant précise les différents cas de figure pouvant se présenter, avec mention pour chacun des cas, des années de séparation retenues et des bonifications afférentes :</w:t>
      </w:r>
    </w:p>
    <w:p w:rsidR="00907600" w:rsidRPr="00EE643B" w:rsidRDefault="00907600" w:rsidP="00EE643B">
      <w:pPr>
        <w:widowControl/>
        <w:autoSpaceDE w:val="0"/>
        <w:adjustRightInd w:val="0"/>
        <w:jc w:val="both"/>
        <w:textAlignment w:val="auto"/>
        <w:rPr>
          <w:rFonts w:ascii="Arial" w:hAnsi="Arial"/>
          <w:kern w:val="0"/>
          <w:sz w:val="20"/>
          <w:szCs w:val="20"/>
          <w:lang w:bidi="ar-SA"/>
        </w:rPr>
      </w:pPr>
    </w:p>
    <w:tbl>
      <w:tblPr>
        <w:tblpPr w:leftFromText="141" w:rightFromText="141" w:vertAnchor="text" w:horzAnchor="margin" w:tblpY="85"/>
        <w:tblW w:w="8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
        <w:gridCol w:w="1061"/>
        <w:gridCol w:w="1333"/>
        <w:gridCol w:w="1333"/>
        <w:gridCol w:w="1334"/>
        <w:gridCol w:w="1333"/>
        <w:gridCol w:w="1334"/>
      </w:tblGrid>
      <w:tr w:rsidR="000101A9" w:rsidRPr="00EE643B" w:rsidTr="00287711">
        <w:trPr>
          <w:trHeight w:val="277"/>
        </w:trPr>
        <w:tc>
          <w:tcPr>
            <w:tcW w:w="1564" w:type="dxa"/>
            <w:gridSpan w:val="2"/>
            <w:vMerge w:val="restart"/>
            <w:vAlign w:val="center"/>
          </w:tcPr>
          <w:p w:rsidR="000101A9" w:rsidRPr="00EE643B" w:rsidRDefault="000101A9" w:rsidP="00287711">
            <w:pPr>
              <w:pStyle w:val="Default"/>
              <w:suppressAutoHyphens/>
              <w:jc w:val="center"/>
              <w:rPr>
                <w:sz w:val="20"/>
                <w:szCs w:val="20"/>
              </w:rPr>
            </w:pPr>
            <w:r w:rsidRPr="00EE643B">
              <w:rPr>
                <w:b/>
                <w:bCs/>
                <w:sz w:val="20"/>
                <w:szCs w:val="20"/>
              </w:rPr>
              <w:t>Année(s) de séparation</w:t>
            </w:r>
          </w:p>
        </w:tc>
        <w:tc>
          <w:tcPr>
            <w:tcW w:w="6667" w:type="dxa"/>
            <w:gridSpan w:val="5"/>
            <w:vAlign w:val="center"/>
          </w:tcPr>
          <w:p w:rsidR="000101A9" w:rsidRPr="00EE643B" w:rsidRDefault="000101A9" w:rsidP="00287711">
            <w:pPr>
              <w:pStyle w:val="Default"/>
              <w:suppressAutoHyphens/>
              <w:jc w:val="center"/>
              <w:rPr>
                <w:sz w:val="20"/>
                <w:szCs w:val="20"/>
              </w:rPr>
            </w:pPr>
            <w:r w:rsidRPr="00EE643B">
              <w:rPr>
                <w:b/>
                <w:bCs/>
                <w:sz w:val="20"/>
                <w:szCs w:val="20"/>
              </w:rPr>
              <w:t>Congé parental ou disponibilité pour suivre le conjoint</w:t>
            </w:r>
          </w:p>
        </w:tc>
      </w:tr>
      <w:tr w:rsidR="000101A9" w:rsidRPr="00EE643B" w:rsidTr="00287711">
        <w:trPr>
          <w:trHeight w:val="268"/>
        </w:trPr>
        <w:tc>
          <w:tcPr>
            <w:tcW w:w="1564" w:type="dxa"/>
            <w:gridSpan w:val="2"/>
            <w:vMerge/>
            <w:textDirection w:val="btLr"/>
            <w:vAlign w:val="center"/>
          </w:tcPr>
          <w:p w:rsidR="000101A9" w:rsidRPr="00EE643B" w:rsidRDefault="000101A9" w:rsidP="00287711">
            <w:pPr>
              <w:pStyle w:val="Default"/>
              <w:suppressAutoHyphens/>
              <w:jc w:val="center"/>
              <w:rPr>
                <w:sz w:val="20"/>
                <w:szCs w:val="20"/>
              </w:rPr>
            </w:pPr>
          </w:p>
        </w:tc>
        <w:tc>
          <w:tcPr>
            <w:tcW w:w="1333" w:type="dxa"/>
            <w:vAlign w:val="center"/>
          </w:tcPr>
          <w:p w:rsidR="000101A9" w:rsidRPr="00EE643B" w:rsidRDefault="000101A9" w:rsidP="00287711">
            <w:pPr>
              <w:pStyle w:val="Default"/>
              <w:suppressAutoHyphens/>
              <w:jc w:val="center"/>
              <w:rPr>
                <w:sz w:val="20"/>
                <w:szCs w:val="20"/>
              </w:rPr>
            </w:pPr>
            <w:r w:rsidRPr="00EE643B">
              <w:rPr>
                <w:b/>
                <w:bCs/>
                <w:sz w:val="20"/>
                <w:szCs w:val="20"/>
              </w:rPr>
              <w:t>0 année</w:t>
            </w:r>
          </w:p>
        </w:tc>
        <w:tc>
          <w:tcPr>
            <w:tcW w:w="1333" w:type="dxa"/>
            <w:vAlign w:val="center"/>
          </w:tcPr>
          <w:p w:rsidR="000101A9" w:rsidRPr="00EE643B" w:rsidRDefault="000101A9" w:rsidP="00287711">
            <w:pPr>
              <w:pStyle w:val="Default"/>
              <w:suppressAutoHyphens/>
              <w:jc w:val="center"/>
              <w:rPr>
                <w:sz w:val="20"/>
                <w:szCs w:val="20"/>
              </w:rPr>
            </w:pPr>
            <w:r w:rsidRPr="00EE643B">
              <w:rPr>
                <w:b/>
                <w:bCs/>
                <w:sz w:val="20"/>
                <w:szCs w:val="20"/>
              </w:rPr>
              <w:t>1 année</w:t>
            </w:r>
          </w:p>
        </w:tc>
        <w:tc>
          <w:tcPr>
            <w:tcW w:w="1334" w:type="dxa"/>
            <w:vAlign w:val="center"/>
          </w:tcPr>
          <w:p w:rsidR="000101A9" w:rsidRPr="00EE643B" w:rsidRDefault="000101A9" w:rsidP="00287711">
            <w:pPr>
              <w:pStyle w:val="Default"/>
              <w:suppressAutoHyphens/>
              <w:jc w:val="center"/>
              <w:rPr>
                <w:sz w:val="20"/>
                <w:szCs w:val="20"/>
              </w:rPr>
            </w:pPr>
            <w:r w:rsidRPr="00EE643B">
              <w:rPr>
                <w:b/>
                <w:bCs/>
                <w:sz w:val="20"/>
                <w:szCs w:val="20"/>
              </w:rPr>
              <w:t>2 années</w:t>
            </w:r>
          </w:p>
        </w:tc>
        <w:tc>
          <w:tcPr>
            <w:tcW w:w="1333" w:type="dxa"/>
            <w:vAlign w:val="center"/>
          </w:tcPr>
          <w:p w:rsidR="000101A9" w:rsidRPr="00EE643B" w:rsidRDefault="000101A9" w:rsidP="00287711">
            <w:pPr>
              <w:pStyle w:val="Default"/>
              <w:suppressAutoHyphens/>
              <w:jc w:val="center"/>
              <w:rPr>
                <w:sz w:val="20"/>
                <w:szCs w:val="20"/>
              </w:rPr>
            </w:pPr>
            <w:r w:rsidRPr="00EE643B">
              <w:rPr>
                <w:b/>
                <w:bCs/>
                <w:sz w:val="20"/>
                <w:szCs w:val="20"/>
              </w:rPr>
              <w:t>3 années</w:t>
            </w:r>
          </w:p>
        </w:tc>
        <w:tc>
          <w:tcPr>
            <w:tcW w:w="1334" w:type="dxa"/>
            <w:vAlign w:val="center"/>
          </w:tcPr>
          <w:p w:rsidR="000101A9" w:rsidRPr="00EE643B" w:rsidRDefault="000101A9" w:rsidP="00287711">
            <w:pPr>
              <w:pStyle w:val="Default"/>
              <w:suppressAutoHyphens/>
              <w:jc w:val="center"/>
              <w:rPr>
                <w:sz w:val="20"/>
                <w:szCs w:val="20"/>
              </w:rPr>
            </w:pPr>
            <w:r w:rsidRPr="00EE643B">
              <w:rPr>
                <w:b/>
                <w:bCs/>
                <w:sz w:val="20"/>
                <w:szCs w:val="20"/>
              </w:rPr>
              <w:t>4 années et +</w:t>
            </w:r>
          </w:p>
        </w:tc>
      </w:tr>
      <w:tr w:rsidR="000101A9" w:rsidRPr="00EE643B" w:rsidTr="00287711">
        <w:trPr>
          <w:cantSplit/>
          <w:trHeight w:val="621"/>
        </w:trPr>
        <w:tc>
          <w:tcPr>
            <w:tcW w:w="503" w:type="dxa"/>
            <w:vMerge w:val="restart"/>
            <w:textDirection w:val="btLr"/>
            <w:vAlign w:val="center"/>
          </w:tcPr>
          <w:p w:rsidR="000101A9" w:rsidRPr="00EE643B" w:rsidRDefault="000101A9" w:rsidP="00287711">
            <w:pPr>
              <w:pStyle w:val="Default"/>
              <w:suppressAutoHyphens/>
              <w:ind w:left="113" w:right="113"/>
              <w:jc w:val="center"/>
              <w:rPr>
                <w:b/>
                <w:bCs/>
                <w:sz w:val="20"/>
                <w:szCs w:val="20"/>
              </w:rPr>
            </w:pPr>
            <w:r w:rsidRPr="00EE643B">
              <w:rPr>
                <w:b/>
                <w:bCs/>
                <w:sz w:val="20"/>
                <w:szCs w:val="20"/>
              </w:rPr>
              <w:t>Activité</w:t>
            </w:r>
          </w:p>
        </w:tc>
        <w:tc>
          <w:tcPr>
            <w:tcW w:w="1061" w:type="dxa"/>
            <w:vAlign w:val="center"/>
          </w:tcPr>
          <w:p w:rsidR="000101A9" w:rsidRPr="00EE643B" w:rsidRDefault="000101A9" w:rsidP="00287711">
            <w:pPr>
              <w:pStyle w:val="Default"/>
              <w:suppressAutoHyphens/>
              <w:jc w:val="center"/>
              <w:rPr>
                <w:sz w:val="20"/>
                <w:szCs w:val="20"/>
              </w:rPr>
            </w:pPr>
            <w:r w:rsidRPr="00EE643B">
              <w:rPr>
                <w:b/>
                <w:bCs/>
                <w:sz w:val="20"/>
                <w:szCs w:val="20"/>
              </w:rPr>
              <w:t>0 année</w:t>
            </w:r>
          </w:p>
        </w:tc>
        <w:tc>
          <w:tcPr>
            <w:tcW w:w="1333" w:type="dxa"/>
            <w:vAlign w:val="center"/>
          </w:tcPr>
          <w:p w:rsidR="000101A9" w:rsidRPr="00EE643B" w:rsidRDefault="000101A9" w:rsidP="00287711">
            <w:pPr>
              <w:pStyle w:val="Default"/>
              <w:suppressAutoHyphens/>
              <w:jc w:val="center"/>
              <w:rPr>
                <w:sz w:val="20"/>
                <w:szCs w:val="20"/>
              </w:rPr>
            </w:pPr>
            <w:r w:rsidRPr="00EE643B">
              <w:rPr>
                <w:sz w:val="20"/>
                <w:szCs w:val="20"/>
              </w:rPr>
              <w:t xml:space="preserve">0 année </w:t>
            </w:r>
            <w:r w:rsidRPr="00EE643B">
              <w:rPr>
                <w:sz w:val="20"/>
                <w:szCs w:val="20"/>
              </w:rPr>
              <w:sym w:font="Wingdings" w:char="F0E0"/>
            </w:r>
            <w:r w:rsidRPr="00EE643B">
              <w:rPr>
                <w:sz w:val="20"/>
                <w:szCs w:val="20"/>
              </w:rPr>
              <w:t xml:space="preserve"> 0 points</w:t>
            </w:r>
          </w:p>
        </w:tc>
        <w:tc>
          <w:tcPr>
            <w:tcW w:w="1333" w:type="dxa"/>
            <w:vAlign w:val="center"/>
          </w:tcPr>
          <w:p w:rsidR="000101A9" w:rsidRPr="00EE643B" w:rsidRDefault="000101A9" w:rsidP="00287711">
            <w:pPr>
              <w:pStyle w:val="Default"/>
              <w:suppressAutoHyphens/>
              <w:jc w:val="center"/>
              <w:rPr>
                <w:sz w:val="20"/>
                <w:szCs w:val="20"/>
              </w:rPr>
            </w:pPr>
            <w:r w:rsidRPr="00EE643B">
              <w:rPr>
                <w:sz w:val="20"/>
                <w:szCs w:val="20"/>
              </w:rPr>
              <w:t xml:space="preserve">½ année </w:t>
            </w:r>
            <w:r w:rsidRPr="00EE643B">
              <w:rPr>
                <w:sz w:val="20"/>
                <w:szCs w:val="20"/>
              </w:rPr>
              <w:sym w:font="Wingdings" w:char="F0E0"/>
            </w:r>
            <w:r w:rsidRPr="00EE643B">
              <w:rPr>
                <w:sz w:val="20"/>
                <w:szCs w:val="20"/>
              </w:rPr>
              <w:t xml:space="preserve"> 25 points</w:t>
            </w:r>
          </w:p>
        </w:tc>
        <w:tc>
          <w:tcPr>
            <w:tcW w:w="1334" w:type="dxa"/>
            <w:vAlign w:val="center"/>
          </w:tcPr>
          <w:p w:rsidR="000101A9" w:rsidRPr="00EE643B" w:rsidRDefault="000101A9" w:rsidP="00287711">
            <w:pPr>
              <w:pStyle w:val="Default"/>
              <w:suppressAutoHyphens/>
              <w:jc w:val="center"/>
              <w:rPr>
                <w:sz w:val="20"/>
                <w:szCs w:val="20"/>
              </w:rPr>
            </w:pPr>
            <w:r w:rsidRPr="00EE643B">
              <w:rPr>
                <w:sz w:val="20"/>
                <w:szCs w:val="20"/>
              </w:rPr>
              <w:t xml:space="preserve">1 année </w:t>
            </w:r>
            <w:r w:rsidRPr="00EE643B">
              <w:rPr>
                <w:sz w:val="20"/>
                <w:szCs w:val="20"/>
              </w:rPr>
              <w:sym w:font="Wingdings" w:char="F0E0"/>
            </w:r>
            <w:r w:rsidRPr="00EE643B">
              <w:rPr>
                <w:sz w:val="20"/>
                <w:szCs w:val="20"/>
              </w:rPr>
              <w:t xml:space="preserve"> 50 points</w:t>
            </w:r>
          </w:p>
        </w:tc>
        <w:tc>
          <w:tcPr>
            <w:tcW w:w="1333" w:type="dxa"/>
            <w:vAlign w:val="center"/>
          </w:tcPr>
          <w:p w:rsidR="000101A9" w:rsidRPr="00EE643B" w:rsidRDefault="000101A9" w:rsidP="00287711">
            <w:pPr>
              <w:pStyle w:val="Default"/>
              <w:suppressAutoHyphens/>
              <w:jc w:val="center"/>
              <w:rPr>
                <w:sz w:val="20"/>
                <w:szCs w:val="20"/>
              </w:rPr>
            </w:pPr>
            <w:r w:rsidRPr="00EE643B">
              <w:rPr>
                <w:sz w:val="20"/>
                <w:szCs w:val="20"/>
              </w:rPr>
              <w:t xml:space="preserve">1année ½ </w:t>
            </w:r>
            <w:r w:rsidRPr="00EE643B">
              <w:rPr>
                <w:sz w:val="20"/>
                <w:szCs w:val="20"/>
              </w:rPr>
              <w:sym w:font="Wingdings" w:char="F0E0"/>
            </w:r>
            <w:r w:rsidRPr="00EE643B">
              <w:rPr>
                <w:sz w:val="20"/>
                <w:szCs w:val="20"/>
              </w:rPr>
              <w:t xml:space="preserve"> 75 points</w:t>
            </w:r>
          </w:p>
        </w:tc>
        <w:tc>
          <w:tcPr>
            <w:tcW w:w="1334" w:type="dxa"/>
            <w:vAlign w:val="center"/>
          </w:tcPr>
          <w:p w:rsidR="000101A9" w:rsidRPr="00EE643B" w:rsidRDefault="000101A9" w:rsidP="00287711">
            <w:pPr>
              <w:pStyle w:val="Default"/>
              <w:suppressAutoHyphens/>
              <w:jc w:val="center"/>
              <w:rPr>
                <w:sz w:val="20"/>
                <w:szCs w:val="20"/>
              </w:rPr>
            </w:pPr>
            <w:r w:rsidRPr="00EE643B">
              <w:rPr>
                <w:sz w:val="20"/>
                <w:szCs w:val="20"/>
              </w:rPr>
              <w:t xml:space="preserve">2 années </w:t>
            </w:r>
            <w:r w:rsidRPr="00EE643B">
              <w:rPr>
                <w:sz w:val="20"/>
                <w:szCs w:val="20"/>
              </w:rPr>
              <w:sym w:font="Wingdings" w:char="F0E0"/>
            </w:r>
            <w:r w:rsidRPr="00EE643B">
              <w:rPr>
                <w:sz w:val="20"/>
                <w:szCs w:val="20"/>
              </w:rPr>
              <w:t xml:space="preserve"> 200 points</w:t>
            </w:r>
          </w:p>
        </w:tc>
      </w:tr>
      <w:tr w:rsidR="000101A9" w:rsidRPr="00EE643B" w:rsidTr="00287711">
        <w:trPr>
          <w:trHeight w:val="621"/>
        </w:trPr>
        <w:tc>
          <w:tcPr>
            <w:tcW w:w="503" w:type="dxa"/>
            <w:vMerge/>
            <w:vAlign w:val="center"/>
          </w:tcPr>
          <w:p w:rsidR="000101A9" w:rsidRPr="00EE643B" w:rsidRDefault="000101A9" w:rsidP="00287711">
            <w:pPr>
              <w:pStyle w:val="Default"/>
              <w:suppressAutoHyphens/>
              <w:jc w:val="center"/>
              <w:rPr>
                <w:b/>
                <w:bCs/>
                <w:sz w:val="20"/>
                <w:szCs w:val="20"/>
              </w:rPr>
            </w:pPr>
          </w:p>
        </w:tc>
        <w:tc>
          <w:tcPr>
            <w:tcW w:w="1061" w:type="dxa"/>
            <w:vAlign w:val="center"/>
          </w:tcPr>
          <w:p w:rsidR="000101A9" w:rsidRPr="00EE643B" w:rsidRDefault="000101A9" w:rsidP="00287711">
            <w:pPr>
              <w:pStyle w:val="Default"/>
              <w:suppressAutoHyphens/>
              <w:jc w:val="center"/>
              <w:rPr>
                <w:sz w:val="20"/>
                <w:szCs w:val="20"/>
              </w:rPr>
            </w:pPr>
            <w:r w:rsidRPr="00EE643B">
              <w:rPr>
                <w:b/>
                <w:bCs/>
                <w:sz w:val="20"/>
                <w:szCs w:val="20"/>
              </w:rPr>
              <w:t>1 année</w:t>
            </w:r>
          </w:p>
        </w:tc>
        <w:tc>
          <w:tcPr>
            <w:tcW w:w="1333" w:type="dxa"/>
            <w:vAlign w:val="center"/>
          </w:tcPr>
          <w:p w:rsidR="000101A9" w:rsidRPr="00EE643B" w:rsidRDefault="000101A9" w:rsidP="00287711">
            <w:pPr>
              <w:pStyle w:val="Default"/>
              <w:suppressAutoHyphens/>
              <w:jc w:val="center"/>
              <w:rPr>
                <w:sz w:val="20"/>
                <w:szCs w:val="20"/>
              </w:rPr>
            </w:pPr>
            <w:r w:rsidRPr="00EE643B">
              <w:rPr>
                <w:sz w:val="20"/>
                <w:szCs w:val="20"/>
              </w:rPr>
              <w:t xml:space="preserve">1 année </w:t>
            </w:r>
            <w:r w:rsidRPr="00EE643B">
              <w:rPr>
                <w:sz w:val="20"/>
                <w:szCs w:val="20"/>
              </w:rPr>
              <w:sym w:font="Wingdings" w:char="F0E0"/>
            </w:r>
            <w:r w:rsidRPr="00EE643B">
              <w:rPr>
                <w:sz w:val="20"/>
                <w:szCs w:val="20"/>
              </w:rPr>
              <w:t xml:space="preserve"> 50 points</w:t>
            </w:r>
          </w:p>
        </w:tc>
        <w:tc>
          <w:tcPr>
            <w:tcW w:w="1333" w:type="dxa"/>
            <w:vAlign w:val="center"/>
          </w:tcPr>
          <w:p w:rsidR="000101A9" w:rsidRPr="00EE643B" w:rsidRDefault="000101A9" w:rsidP="00287711">
            <w:pPr>
              <w:pStyle w:val="Default"/>
              <w:suppressAutoHyphens/>
              <w:jc w:val="center"/>
              <w:rPr>
                <w:sz w:val="20"/>
                <w:szCs w:val="20"/>
              </w:rPr>
            </w:pPr>
            <w:r w:rsidRPr="00EE643B">
              <w:rPr>
                <w:sz w:val="20"/>
                <w:szCs w:val="20"/>
              </w:rPr>
              <w:t xml:space="preserve">1année ½ </w:t>
            </w:r>
            <w:r w:rsidRPr="00EE643B">
              <w:rPr>
                <w:sz w:val="20"/>
                <w:szCs w:val="20"/>
              </w:rPr>
              <w:sym w:font="Wingdings" w:char="F0E0"/>
            </w:r>
            <w:r w:rsidRPr="00EE643B">
              <w:rPr>
                <w:sz w:val="20"/>
                <w:szCs w:val="20"/>
              </w:rPr>
              <w:t xml:space="preserve"> 75 points</w:t>
            </w:r>
          </w:p>
        </w:tc>
        <w:tc>
          <w:tcPr>
            <w:tcW w:w="1334" w:type="dxa"/>
            <w:vAlign w:val="center"/>
          </w:tcPr>
          <w:p w:rsidR="000101A9" w:rsidRPr="00EE643B" w:rsidRDefault="000101A9" w:rsidP="00287711">
            <w:pPr>
              <w:pStyle w:val="Default"/>
              <w:suppressAutoHyphens/>
              <w:jc w:val="center"/>
              <w:rPr>
                <w:sz w:val="20"/>
                <w:szCs w:val="20"/>
              </w:rPr>
            </w:pPr>
            <w:r w:rsidRPr="00EE643B">
              <w:rPr>
                <w:sz w:val="20"/>
                <w:szCs w:val="20"/>
              </w:rPr>
              <w:t xml:space="preserve">2 années </w:t>
            </w:r>
            <w:r w:rsidRPr="00EE643B">
              <w:rPr>
                <w:sz w:val="20"/>
                <w:szCs w:val="20"/>
              </w:rPr>
              <w:sym w:font="Wingdings" w:char="F0E0"/>
            </w:r>
            <w:r w:rsidRPr="00EE643B">
              <w:rPr>
                <w:sz w:val="20"/>
                <w:szCs w:val="20"/>
              </w:rPr>
              <w:t xml:space="preserve"> 200 points</w:t>
            </w:r>
          </w:p>
        </w:tc>
        <w:tc>
          <w:tcPr>
            <w:tcW w:w="1333" w:type="dxa"/>
            <w:vAlign w:val="center"/>
          </w:tcPr>
          <w:p w:rsidR="000101A9" w:rsidRPr="00EE643B" w:rsidRDefault="000101A9" w:rsidP="00287711">
            <w:pPr>
              <w:pStyle w:val="Default"/>
              <w:suppressAutoHyphens/>
              <w:jc w:val="center"/>
              <w:rPr>
                <w:sz w:val="20"/>
                <w:szCs w:val="20"/>
              </w:rPr>
            </w:pPr>
            <w:r w:rsidRPr="00EE643B">
              <w:rPr>
                <w:sz w:val="20"/>
                <w:szCs w:val="20"/>
              </w:rPr>
              <w:t xml:space="preserve">2 années ½ </w:t>
            </w:r>
            <w:r w:rsidRPr="00EE643B">
              <w:rPr>
                <w:sz w:val="20"/>
                <w:szCs w:val="20"/>
              </w:rPr>
              <w:sym w:font="Wingdings" w:char="F0E0"/>
            </w:r>
            <w:r w:rsidRPr="00EE643B">
              <w:rPr>
                <w:sz w:val="20"/>
                <w:szCs w:val="20"/>
              </w:rPr>
              <w:t xml:space="preserve"> 225 points</w:t>
            </w:r>
          </w:p>
        </w:tc>
        <w:tc>
          <w:tcPr>
            <w:tcW w:w="1334" w:type="dxa"/>
            <w:vAlign w:val="center"/>
          </w:tcPr>
          <w:p w:rsidR="000101A9" w:rsidRPr="00EE643B" w:rsidRDefault="000101A9" w:rsidP="00287711">
            <w:pPr>
              <w:pStyle w:val="Default"/>
              <w:suppressAutoHyphens/>
              <w:jc w:val="center"/>
              <w:rPr>
                <w:sz w:val="20"/>
                <w:szCs w:val="20"/>
              </w:rPr>
            </w:pPr>
            <w:r w:rsidRPr="00EE643B">
              <w:rPr>
                <w:sz w:val="20"/>
                <w:szCs w:val="20"/>
              </w:rPr>
              <w:t xml:space="preserve">3 années </w:t>
            </w:r>
            <w:r w:rsidRPr="00EE643B">
              <w:rPr>
                <w:sz w:val="20"/>
                <w:szCs w:val="20"/>
              </w:rPr>
              <w:sym w:font="Wingdings" w:char="F0E0"/>
            </w:r>
            <w:r w:rsidRPr="00EE643B">
              <w:rPr>
                <w:sz w:val="20"/>
                <w:szCs w:val="20"/>
              </w:rPr>
              <w:t xml:space="preserve"> 350 points</w:t>
            </w:r>
          </w:p>
        </w:tc>
      </w:tr>
      <w:tr w:rsidR="000101A9" w:rsidRPr="00EE643B" w:rsidTr="00287711">
        <w:trPr>
          <w:trHeight w:val="621"/>
        </w:trPr>
        <w:tc>
          <w:tcPr>
            <w:tcW w:w="503" w:type="dxa"/>
            <w:vMerge/>
            <w:vAlign w:val="center"/>
          </w:tcPr>
          <w:p w:rsidR="000101A9" w:rsidRPr="00EE643B" w:rsidRDefault="000101A9" w:rsidP="00287711">
            <w:pPr>
              <w:pStyle w:val="Default"/>
              <w:suppressAutoHyphens/>
              <w:jc w:val="center"/>
              <w:rPr>
                <w:b/>
                <w:bCs/>
                <w:sz w:val="20"/>
                <w:szCs w:val="20"/>
              </w:rPr>
            </w:pPr>
          </w:p>
        </w:tc>
        <w:tc>
          <w:tcPr>
            <w:tcW w:w="1061" w:type="dxa"/>
            <w:vAlign w:val="center"/>
          </w:tcPr>
          <w:p w:rsidR="000101A9" w:rsidRPr="00EE643B" w:rsidRDefault="000101A9" w:rsidP="00287711">
            <w:pPr>
              <w:pStyle w:val="Default"/>
              <w:suppressAutoHyphens/>
              <w:jc w:val="center"/>
              <w:rPr>
                <w:sz w:val="20"/>
                <w:szCs w:val="20"/>
              </w:rPr>
            </w:pPr>
            <w:r w:rsidRPr="00EE643B">
              <w:rPr>
                <w:b/>
                <w:bCs/>
                <w:sz w:val="20"/>
                <w:szCs w:val="20"/>
              </w:rPr>
              <w:t>2 années</w:t>
            </w:r>
          </w:p>
        </w:tc>
        <w:tc>
          <w:tcPr>
            <w:tcW w:w="1333" w:type="dxa"/>
            <w:vAlign w:val="center"/>
          </w:tcPr>
          <w:p w:rsidR="000101A9" w:rsidRPr="00EE643B" w:rsidRDefault="000101A9" w:rsidP="00287711">
            <w:pPr>
              <w:pStyle w:val="Default"/>
              <w:suppressAutoHyphens/>
              <w:jc w:val="center"/>
              <w:rPr>
                <w:sz w:val="20"/>
                <w:szCs w:val="20"/>
              </w:rPr>
            </w:pPr>
            <w:r w:rsidRPr="00EE643B">
              <w:rPr>
                <w:sz w:val="20"/>
                <w:szCs w:val="20"/>
              </w:rPr>
              <w:t xml:space="preserve">2 années </w:t>
            </w:r>
            <w:r w:rsidRPr="00EE643B">
              <w:rPr>
                <w:sz w:val="20"/>
                <w:szCs w:val="20"/>
              </w:rPr>
              <w:sym w:font="Wingdings" w:char="F0E0"/>
            </w:r>
            <w:r w:rsidRPr="00EE643B">
              <w:rPr>
                <w:sz w:val="20"/>
                <w:szCs w:val="20"/>
              </w:rPr>
              <w:t xml:space="preserve"> 200 points</w:t>
            </w:r>
          </w:p>
        </w:tc>
        <w:tc>
          <w:tcPr>
            <w:tcW w:w="1333" w:type="dxa"/>
            <w:vAlign w:val="center"/>
          </w:tcPr>
          <w:p w:rsidR="000101A9" w:rsidRPr="00EE643B" w:rsidRDefault="000101A9" w:rsidP="00287711">
            <w:pPr>
              <w:pStyle w:val="Default"/>
              <w:suppressAutoHyphens/>
              <w:jc w:val="center"/>
              <w:rPr>
                <w:sz w:val="20"/>
                <w:szCs w:val="20"/>
              </w:rPr>
            </w:pPr>
            <w:r w:rsidRPr="00EE643B">
              <w:rPr>
                <w:sz w:val="20"/>
                <w:szCs w:val="20"/>
              </w:rPr>
              <w:t xml:space="preserve">2 années ½ </w:t>
            </w:r>
            <w:r w:rsidRPr="00EE643B">
              <w:rPr>
                <w:sz w:val="20"/>
                <w:szCs w:val="20"/>
              </w:rPr>
              <w:sym w:font="Wingdings" w:char="F0E0"/>
            </w:r>
            <w:r w:rsidRPr="00EE643B">
              <w:rPr>
                <w:sz w:val="20"/>
                <w:szCs w:val="20"/>
              </w:rPr>
              <w:t xml:space="preserve"> 225 points</w:t>
            </w:r>
          </w:p>
        </w:tc>
        <w:tc>
          <w:tcPr>
            <w:tcW w:w="1334" w:type="dxa"/>
            <w:vAlign w:val="center"/>
          </w:tcPr>
          <w:p w:rsidR="000101A9" w:rsidRPr="00EE643B" w:rsidRDefault="000101A9" w:rsidP="00287711">
            <w:pPr>
              <w:pStyle w:val="Default"/>
              <w:suppressAutoHyphens/>
              <w:jc w:val="center"/>
              <w:rPr>
                <w:sz w:val="20"/>
                <w:szCs w:val="20"/>
              </w:rPr>
            </w:pPr>
            <w:r w:rsidRPr="00EE643B">
              <w:rPr>
                <w:sz w:val="20"/>
                <w:szCs w:val="20"/>
              </w:rPr>
              <w:t xml:space="preserve">3 années </w:t>
            </w:r>
            <w:r w:rsidRPr="00EE643B">
              <w:rPr>
                <w:sz w:val="20"/>
                <w:szCs w:val="20"/>
              </w:rPr>
              <w:sym w:font="Wingdings" w:char="F0E0"/>
            </w:r>
            <w:r w:rsidRPr="00EE643B">
              <w:rPr>
                <w:sz w:val="20"/>
                <w:szCs w:val="20"/>
              </w:rPr>
              <w:t xml:space="preserve"> 350 points</w:t>
            </w:r>
          </w:p>
        </w:tc>
        <w:tc>
          <w:tcPr>
            <w:tcW w:w="1333" w:type="dxa"/>
            <w:vAlign w:val="center"/>
          </w:tcPr>
          <w:p w:rsidR="000101A9" w:rsidRPr="00EE643B" w:rsidRDefault="000101A9" w:rsidP="00287711">
            <w:pPr>
              <w:pStyle w:val="Default"/>
              <w:suppressAutoHyphens/>
              <w:jc w:val="center"/>
              <w:rPr>
                <w:sz w:val="20"/>
                <w:szCs w:val="20"/>
              </w:rPr>
            </w:pPr>
            <w:r w:rsidRPr="00EE643B">
              <w:rPr>
                <w:sz w:val="20"/>
                <w:szCs w:val="20"/>
              </w:rPr>
              <w:t xml:space="preserve">3 années ½ </w:t>
            </w:r>
            <w:r w:rsidRPr="00EE643B">
              <w:rPr>
                <w:sz w:val="20"/>
                <w:szCs w:val="20"/>
              </w:rPr>
              <w:sym w:font="Wingdings" w:char="F0E0"/>
            </w:r>
            <w:r w:rsidRPr="00EE643B">
              <w:rPr>
                <w:sz w:val="20"/>
                <w:szCs w:val="20"/>
              </w:rPr>
              <w:t xml:space="preserve"> 375 points</w:t>
            </w:r>
          </w:p>
        </w:tc>
        <w:tc>
          <w:tcPr>
            <w:tcW w:w="1334" w:type="dxa"/>
            <w:vAlign w:val="center"/>
          </w:tcPr>
          <w:p w:rsidR="000101A9" w:rsidRPr="00EE643B" w:rsidRDefault="000101A9" w:rsidP="00287711">
            <w:pPr>
              <w:pStyle w:val="Default"/>
              <w:suppressAutoHyphens/>
              <w:jc w:val="center"/>
              <w:rPr>
                <w:sz w:val="20"/>
                <w:szCs w:val="20"/>
              </w:rPr>
            </w:pPr>
            <w:r w:rsidRPr="00EE643B">
              <w:rPr>
                <w:sz w:val="20"/>
                <w:szCs w:val="20"/>
              </w:rPr>
              <w:t xml:space="preserve">4 années </w:t>
            </w:r>
            <w:r w:rsidRPr="00EE643B">
              <w:rPr>
                <w:sz w:val="20"/>
                <w:szCs w:val="20"/>
              </w:rPr>
              <w:sym w:font="Wingdings" w:char="F0E0"/>
            </w:r>
            <w:r w:rsidRPr="00EE643B">
              <w:rPr>
                <w:sz w:val="20"/>
                <w:szCs w:val="20"/>
              </w:rPr>
              <w:t xml:space="preserve"> 450 points</w:t>
            </w:r>
          </w:p>
        </w:tc>
      </w:tr>
      <w:tr w:rsidR="000101A9" w:rsidRPr="00EE643B" w:rsidTr="00287711">
        <w:trPr>
          <w:trHeight w:val="621"/>
        </w:trPr>
        <w:tc>
          <w:tcPr>
            <w:tcW w:w="503" w:type="dxa"/>
            <w:vMerge/>
            <w:vAlign w:val="center"/>
          </w:tcPr>
          <w:p w:rsidR="000101A9" w:rsidRPr="00EE643B" w:rsidRDefault="000101A9" w:rsidP="00287711">
            <w:pPr>
              <w:pStyle w:val="Default"/>
              <w:suppressAutoHyphens/>
              <w:jc w:val="center"/>
              <w:rPr>
                <w:b/>
                <w:bCs/>
                <w:sz w:val="20"/>
                <w:szCs w:val="20"/>
              </w:rPr>
            </w:pPr>
          </w:p>
        </w:tc>
        <w:tc>
          <w:tcPr>
            <w:tcW w:w="1061" w:type="dxa"/>
            <w:vAlign w:val="center"/>
          </w:tcPr>
          <w:p w:rsidR="000101A9" w:rsidRPr="00EE643B" w:rsidRDefault="000101A9" w:rsidP="00287711">
            <w:pPr>
              <w:pStyle w:val="Default"/>
              <w:suppressAutoHyphens/>
              <w:jc w:val="center"/>
              <w:rPr>
                <w:sz w:val="20"/>
                <w:szCs w:val="20"/>
              </w:rPr>
            </w:pPr>
            <w:r w:rsidRPr="00EE643B">
              <w:rPr>
                <w:b/>
                <w:bCs/>
                <w:sz w:val="20"/>
                <w:szCs w:val="20"/>
              </w:rPr>
              <w:t>3 années</w:t>
            </w:r>
          </w:p>
        </w:tc>
        <w:tc>
          <w:tcPr>
            <w:tcW w:w="1333" w:type="dxa"/>
            <w:vAlign w:val="center"/>
          </w:tcPr>
          <w:p w:rsidR="000101A9" w:rsidRPr="00EE643B" w:rsidRDefault="000101A9" w:rsidP="00287711">
            <w:pPr>
              <w:pStyle w:val="Default"/>
              <w:suppressAutoHyphens/>
              <w:jc w:val="center"/>
              <w:rPr>
                <w:sz w:val="20"/>
                <w:szCs w:val="20"/>
              </w:rPr>
            </w:pPr>
            <w:r w:rsidRPr="00EE643B">
              <w:rPr>
                <w:sz w:val="20"/>
                <w:szCs w:val="20"/>
              </w:rPr>
              <w:t xml:space="preserve">3 années </w:t>
            </w:r>
            <w:r w:rsidRPr="00EE643B">
              <w:rPr>
                <w:sz w:val="20"/>
                <w:szCs w:val="20"/>
              </w:rPr>
              <w:sym w:font="Wingdings" w:char="F0E0"/>
            </w:r>
            <w:r w:rsidRPr="00EE643B">
              <w:rPr>
                <w:sz w:val="20"/>
                <w:szCs w:val="20"/>
              </w:rPr>
              <w:t xml:space="preserve"> 350 points</w:t>
            </w:r>
          </w:p>
        </w:tc>
        <w:tc>
          <w:tcPr>
            <w:tcW w:w="1333" w:type="dxa"/>
            <w:vAlign w:val="center"/>
          </w:tcPr>
          <w:p w:rsidR="000101A9" w:rsidRPr="00EE643B" w:rsidRDefault="000101A9" w:rsidP="00287711">
            <w:pPr>
              <w:pStyle w:val="Default"/>
              <w:suppressAutoHyphens/>
              <w:jc w:val="center"/>
              <w:rPr>
                <w:sz w:val="20"/>
                <w:szCs w:val="20"/>
              </w:rPr>
            </w:pPr>
            <w:r w:rsidRPr="00EE643B">
              <w:rPr>
                <w:sz w:val="20"/>
                <w:szCs w:val="20"/>
              </w:rPr>
              <w:t xml:space="preserve">3 années ½ </w:t>
            </w:r>
            <w:r w:rsidRPr="00EE643B">
              <w:rPr>
                <w:sz w:val="20"/>
                <w:szCs w:val="20"/>
              </w:rPr>
              <w:sym w:font="Wingdings" w:char="F0E0"/>
            </w:r>
            <w:r w:rsidRPr="00EE643B">
              <w:rPr>
                <w:sz w:val="20"/>
                <w:szCs w:val="20"/>
              </w:rPr>
              <w:t xml:space="preserve"> 375 points</w:t>
            </w:r>
          </w:p>
        </w:tc>
        <w:tc>
          <w:tcPr>
            <w:tcW w:w="1334" w:type="dxa"/>
            <w:vAlign w:val="center"/>
          </w:tcPr>
          <w:p w:rsidR="000101A9" w:rsidRPr="00EE643B" w:rsidRDefault="000101A9" w:rsidP="00287711">
            <w:pPr>
              <w:pStyle w:val="Default"/>
              <w:suppressAutoHyphens/>
              <w:jc w:val="center"/>
              <w:rPr>
                <w:sz w:val="20"/>
                <w:szCs w:val="20"/>
              </w:rPr>
            </w:pPr>
            <w:r w:rsidRPr="00EE643B">
              <w:rPr>
                <w:sz w:val="20"/>
                <w:szCs w:val="20"/>
              </w:rPr>
              <w:t xml:space="preserve">4 années </w:t>
            </w:r>
            <w:r w:rsidRPr="00EE643B">
              <w:rPr>
                <w:sz w:val="20"/>
                <w:szCs w:val="20"/>
              </w:rPr>
              <w:sym w:font="Wingdings" w:char="F0E0"/>
            </w:r>
            <w:r w:rsidRPr="00EE643B">
              <w:rPr>
                <w:sz w:val="20"/>
                <w:szCs w:val="20"/>
              </w:rPr>
              <w:t xml:space="preserve"> 450 points</w:t>
            </w:r>
          </w:p>
        </w:tc>
        <w:tc>
          <w:tcPr>
            <w:tcW w:w="1333" w:type="dxa"/>
            <w:vAlign w:val="center"/>
          </w:tcPr>
          <w:p w:rsidR="000101A9" w:rsidRPr="00EE643B" w:rsidRDefault="000101A9" w:rsidP="00287711">
            <w:pPr>
              <w:pStyle w:val="Default"/>
              <w:suppressAutoHyphens/>
              <w:jc w:val="center"/>
              <w:rPr>
                <w:sz w:val="20"/>
                <w:szCs w:val="20"/>
              </w:rPr>
            </w:pPr>
            <w:r w:rsidRPr="00EE643B">
              <w:rPr>
                <w:sz w:val="20"/>
                <w:szCs w:val="20"/>
              </w:rPr>
              <w:t xml:space="preserve">4 années </w:t>
            </w:r>
            <w:r w:rsidRPr="00EE643B">
              <w:rPr>
                <w:sz w:val="20"/>
                <w:szCs w:val="20"/>
              </w:rPr>
              <w:sym w:font="Wingdings" w:char="F0E0"/>
            </w:r>
            <w:r w:rsidRPr="00EE643B">
              <w:rPr>
                <w:sz w:val="20"/>
                <w:szCs w:val="20"/>
              </w:rPr>
              <w:t xml:space="preserve"> 450 points</w:t>
            </w:r>
          </w:p>
        </w:tc>
        <w:tc>
          <w:tcPr>
            <w:tcW w:w="1334" w:type="dxa"/>
            <w:vAlign w:val="center"/>
          </w:tcPr>
          <w:p w:rsidR="000101A9" w:rsidRPr="00EE643B" w:rsidRDefault="000101A9" w:rsidP="00287711">
            <w:pPr>
              <w:pStyle w:val="Default"/>
              <w:suppressAutoHyphens/>
              <w:jc w:val="center"/>
              <w:rPr>
                <w:sz w:val="20"/>
                <w:szCs w:val="20"/>
              </w:rPr>
            </w:pPr>
            <w:r w:rsidRPr="00EE643B">
              <w:rPr>
                <w:sz w:val="20"/>
                <w:szCs w:val="20"/>
              </w:rPr>
              <w:t xml:space="preserve">4 années </w:t>
            </w:r>
            <w:r w:rsidRPr="00EE643B">
              <w:rPr>
                <w:sz w:val="20"/>
                <w:szCs w:val="20"/>
              </w:rPr>
              <w:sym w:font="Wingdings" w:char="F0E0"/>
            </w:r>
            <w:r w:rsidRPr="00EE643B">
              <w:rPr>
                <w:sz w:val="20"/>
                <w:szCs w:val="20"/>
              </w:rPr>
              <w:t xml:space="preserve"> 450 points</w:t>
            </w:r>
          </w:p>
        </w:tc>
      </w:tr>
      <w:tr w:rsidR="000101A9" w:rsidRPr="00EE643B" w:rsidTr="00287711">
        <w:trPr>
          <w:trHeight w:val="621"/>
        </w:trPr>
        <w:tc>
          <w:tcPr>
            <w:tcW w:w="503" w:type="dxa"/>
            <w:vMerge/>
            <w:vAlign w:val="center"/>
          </w:tcPr>
          <w:p w:rsidR="000101A9" w:rsidRPr="00EE643B" w:rsidRDefault="000101A9" w:rsidP="00287711">
            <w:pPr>
              <w:pStyle w:val="Default"/>
              <w:suppressAutoHyphens/>
              <w:jc w:val="center"/>
              <w:rPr>
                <w:b/>
                <w:bCs/>
                <w:sz w:val="20"/>
                <w:szCs w:val="20"/>
              </w:rPr>
            </w:pPr>
          </w:p>
        </w:tc>
        <w:tc>
          <w:tcPr>
            <w:tcW w:w="1061" w:type="dxa"/>
            <w:vAlign w:val="center"/>
          </w:tcPr>
          <w:p w:rsidR="000101A9" w:rsidRPr="00EE643B" w:rsidRDefault="000101A9" w:rsidP="00287711">
            <w:pPr>
              <w:pStyle w:val="Default"/>
              <w:suppressAutoHyphens/>
              <w:jc w:val="center"/>
              <w:rPr>
                <w:b/>
                <w:bCs/>
                <w:sz w:val="20"/>
                <w:szCs w:val="20"/>
              </w:rPr>
            </w:pPr>
            <w:r w:rsidRPr="00EE643B">
              <w:rPr>
                <w:b/>
                <w:bCs/>
                <w:sz w:val="20"/>
                <w:szCs w:val="20"/>
              </w:rPr>
              <w:t>4 années et +</w:t>
            </w:r>
          </w:p>
        </w:tc>
        <w:tc>
          <w:tcPr>
            <w:tcW w:w="1333" w:type="dxa"/>
            <w:vAlign w:val="center"/>
          </w:tcPr>
          <w:p w:rsidR="000101A9" w:rsidRPr="00EE643B" w:rsidRDefault="000101A9" w:rsidP="00287711">
            <w:pPr>
              <w:pStyle w:val="Default"/>
              <w:suppressAutoHyphens/>
              <w:jc w:val="center"/>
              <w:rPr>
                <w:sz w:val="20"/>
                <w:szCs w:val="20"/>
              </w:rPr>
            </w:pPr>
            <w:r w:rsidRPr="00EE643B">
              <w:rPr>
                <w:sz w:val="20"/>
                <w:szCs w:val="20"/>
              </w:rPr>
              <w:t xml:space="preserve">4 années </w:t>
            </w:r>
            <w:r w:rsidRPr="00EE643B">
              <w:rPr>
                <w:sz w:val="20"/>
                <w:szCs w:val="20"/>
              </w:rPr>
              <w:sym w:font="Wingdings" w:char="F0E0"/>
            </w:r>
            <w:r w:rsidRPr="00EE643B">
              <w:rPr>
                <w:sz w:val="20"/>
                <w:szCs w:val="20"/>
              </w:rPr>
              <w:t xml:space="preserve"> 450 points</w:t>
            </w:r>
          </w:p>
        </w:tc>
        <w:tc>
          <w:tcPr>
            <w:tcW w:w="1333" w:type="dxa"/>
            <w:vAlign w:val="center"/>
          </w:tcPr>
          <w:p w:rsidR="000101A9" w:rsidRPr="00EE643B" w:rsidRDefault="000101A9" w:rsidP="00287711">
            <w:pPr>
              <w:pStyle w:val="Default"/>
              <w:suppressAutoHyphens/>
              <w:jc w:val="center"/>
              <w:rPr>
                <w:sz w:val="20"/>
                <w:szCs w:val="20"/>
              </w:rPr>
            </w:pPr>
            <w:r w:rsidRPr="00EE643B">
              <w:rPr>
                <w:sz w:val="20"/>
                <w:szCs w:val="20"/>
              </w:rPr>
              <w:t xml:space="preserve">4 années </w:t>
            </w:r>
            <w:r w:rsidRPr="00EE643B">
              <w:rPr>
                <w:sz w:val="20"/>
                <w:szCs w:val="20"/>
              </w:rPr>
              <w:sym w:font="Wingdings" w:char="F0E0"/>
            </w:r>
            <w:r w:rsidRPr="00EE643B">
              <w:rPr>
                <w:sz w:val="20"/>
                <w:szCs w:val="20"/>
              </w:rPr>
              <w:t xml:space="preserve"> 450 points</w:t>
            </w:r>
          </w:p>
        </w:tc>
        <w:tc>
          <w:tcPr>
            <w:tcW w:w="1334" w:type="dxa"/>
            <w:vAlign w:val="center"/>
          </w:tcPr>
          <w:p w:rsidR="000101A9" w:rsidRPr="00EE643B" w:rsidRDefault="000101A9" w:rsidP="00287711">
            <w:pPr>
              <w:pStyle w:val="Default"/>
              <w:suppressAutoHyphens/>
              <w:jc w:val="center"/>
              <w:rPr>
                <w:sz w:val="20"/>
                <w:szCs w:val="20"/>
              </w:rPr>
            </w:pPr>
            <w:r w:rsidRPr="00EE643B">
              <w:rPr>
                <w:sz w:val="20"/>
                <w:szCs w:val="20"/>
              </w:rPr>
              <w:t xml:space="preserve">4 années </w:t>
            </w:r>
            <w:r w:rsidRPr="00EE643B">
              <w:rPr>
                <w:sz w:val="20"/>
                <w:szCs w:val="20"/>
              </w:rPr>
              <w:sym w:font="Wingdings" w:char="F0E0"/>
            </w:r>
            <w:r w:rsidRPr="00EE643B">
              <w:rPr>
                <w:sz w:val="20"/>
                <w:szCs w:val="20"/>
              </w:rPr>
              <w:t xml:space="preserve"> 450 points</w:t>
            </w:r>
          </w:p>
        </w:tc>
        <w:tc>
          <w:tcPr>
            <w:tcW w:w="1333" w:type="dxa"/>
            <w:vAlign w:val="center"/>
          </w:tcPr>
          <w:p w:rsidR="000101A9" w:rsidRPr="00EE643B" w:rsidRDefault="000101A9" w:rsidP="00287711">
            <w:pPr>
              <w:pStyle w:val="Default"/>
              <w:suppressAutoHyphens/>
              <w:jc w:val="center"/>
              <w:rPr>
                <w:sz w:val="20"/>
                <w:szCs w:val="20"/>
              </w:rPr>
            </w:pPr>
            <w:r w:rsidRPr="00EE643B">
              <w:rPr>
                <w:sz w:val="20"/>
                <w:szCs w:val="20"/>
              </w:rPr>
              <w:t xml:space="preserve">4 années </w:t>
            </w:r>
            <w:r w:rsidRPr="00EE643B">
              <w:rPr>
                <w:sz w:val="20"/>
                <w:szCs w:val="20"/>
              </w:rPr>
              <w:sym w:font="Wingdings" w:char="F0E0"/>
            </w:r>
            <w:r w:rsidRPr="00EE643B">
              <w:rPr>
                <w:sz w:val="20"/>
                <w:szCs w:val="20"/>
              </w:rPr>
              <w:t xml:space="preserve"> 450 points</w:t>
            </w:r>
          </w:p>
        </w:tc>
        <w:tc>
          <w:tcPr>
            <w:tcW w:w="1334" w:type="dxa"/>
            <w:vAlign w:val="center"/>
          </w:tcPr>
          <w:p w:rsidR="000101A9" w:rsidRPr="00EE643B" w:rsidRDefault="000101A9" w:rsidP="00287711">
            <w:pPr>
              <w:pStyle w:val="Default"/>
              <w:suppressAutoHyphens/>
              <w:jc w:val="center"/>
              <w:rPr>
                <w:sz w:val="20"/>
                <w:szCs w:val="20"/>
              </w:rPr>
            </w:pPr>
            <w:r w:rsidRPr="00EE643B">
              <w:rPr>
                <w:sz w:val="20"/>
                <w:szCs w:val="20"/>
              </w:rPr>
              <w:t xml:space="preserve">4 années </w:t>
            </w:r>
            <w:r w:rsidRPr="00EE643B">
              <w:rPr>
                <w:sz w:val="20"/>
                <w:szCs w:val="20"/>
              </w:rPr>
              <w:sym w:font="Wingdings" w:char="F0E0"/>
            </w:r>
            <w:r w:rsidRPr="00EE643B">
              <w:rPr>
                <w:sz w:val="20"/>
                <w:szCs w:val="20"/>
              </w:rPr>
              <w:t xml:space="preserve"> 450 points</w:t>
            </w:r>
          </w:p>
        </w:tc>
      </w:tr>
    </w:tbl>
    <w:p w:rsidR="000101A9" w:rsidRPr="00EE643B" w:rsidRDefault="000101A9" w:rsidP="00EE643B">
      <w:pPr>
        <w:widowControl/>
        <w:autoSpaceDE w:val="0"/>
        <w:adjustRightInd w:val="0"/>
        <w:jc w:val="both"/>
        <w:textAlignment w:val="auto"/>
        <w:rPr>
          <w:rFonts w:ascii="Arial" w:hAnsi="Arial"/>
          <w:kern w:val="0"/>
          <w:sz w:val="20"/>
          <w:szCs w:val="20"/>
          <w:lang w:bidi="ar-SA"/>
        </w:rPr>
      </w:pP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Pour la lecture du tableau, il convient d'une part, de considérer le nombre d'années pendant lesquelles l'agent séparé de son conjoint est en activité et d'autre part, de cumuler les années pendant lesquelles l'agent séparé de son conjoint est soit en congé parental soit en disponibilité pour suivre le conjoint.</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Ainsi, 2 années d'activité et une année de congé parental ouvrent droit à 2 années ½ de séparation soit 225 points ;</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1 année d'activité suivie de 2 années de congé parental puis de 3 années de disponibilité pour suivre le conjoint ouvrent droit à 3 années de séparation soit 350 points.</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Pour chaque année de séparation et lorsque l'agent est en activité, la situation de séparation doit couvrir au moins une période de 6 mois. Pour chaque période de séparation en congé parental ou disponibilité pour suivre le conjoint, la période de congé comme de disponibilité doit couvrir l'intégralité de l'année scolaire étudiée.</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Dans l'hypothèse où, au cours d'une même année scolaire, un agent se trouve en position d'activité pour une durée inférieure à six mois et en congé parental ou disponibilité pour suivre son conjoint pour une durée supérieure à six mois (exemple : cinq mois d'activité puis sept mois de congé parental), il bénéficiera d'une année de séparation comptabilisée pour moitié.</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La date de début de la séparation ne peut être antérieure à la date de titularisation du candidat.</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 xml:space="preserve">Aucune année de séparation n'est comptabilisée entre les départements suivants : </w:t>
      </w:r>
      <w:r w:rsidRPr="00EE643B">
        <w:rPr>
          <w:rFonts w:ascii="Arial" w:eastAsia="Times New Roman" w:hAnsi="Arial"/>
          <w:b/>
          <w:bCs/>
          <w:kern w:val="0"/>
          <w:sz w:val="20"/>
          <w:szCs w:val="20"/>
          <w:lang w:eastAsia="fr-FR" w:bidi="ar-SA"/>
        </w:rPr>
        <w:t>75 et 92, 75 et 93, 75 et 94.</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Lorsque l'enseignant a toujours été séparé de son conjoint pour raisons professionnelles et que le département d'exercice professionnel du conjoint change pendant la période de séparation, la durée de celle-ci comprend les périodes comptabilisées au titre de chaque département où celui-ci a exercé. Lorsqu'un candidat qui a formulé plusieurs vœux obtient sa mutation pour un autre département que celui d'exercice professionnel de son conjoint, sollicité en premier rang de vœu, il peut prétendre au maintien des points liés aux années de séparation.</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Il appartient aux services départementaux de vérifier le décompte des années de séparation établi par les intéressés ainsi que leurs situations personnelles et familiales lorsqu'ils se déclarent séparés de leur conjoint pour des raisons professionnelles.</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EE643B">
        <w:rPr>
          <w:rFonts w:ascii="Arial" w:eastAsia="Times New Roman" w:hAnsi="Arial"/>
          <w:b/>
          <w:bCs/>
          <w:i/>
          <w:iCs/>
          <w:kern w:val="0"/>
          <w:sz w:val="20"/>
          <w:szCs w:val="20"/>
          <w:lang w:eastAsia="fr-FR" w:bidi="ar-SA"/>
        </w:rPr>
        <w:t>Pièces justificatives à fournir par les enseignants à l'appui d'une demande de rapprochement de conjoints :</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 photocopie du livret de famille et/ou extrait d'acte de naissance de l'enfant à charge;</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 le dernier avis d'imposition dans le cas d'un enfant à charge sans lien de parenté ;</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 un justificatif administratif établissant l'engagement dans les liens d'un Pacs et l'extrait d'acte de naissance portant l'identité du partenaire et le lieu d'enregistrement du Pacs ;</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lastRenderedPageBreak/>
        <w:t>- attestation de reconnaissance anticipée établie le 1er janvier 2020 au plus tard, pour les agents non mariés ;</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 certificat de grossesse délivré au plus tard le 1er janvier 2020 ;</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 attestation de la résidence professionnelle et de l'activité professionnelle principale du conjoint (contrat de travail accompagné des bulletins de salaires ou des chèques emploi service) ;</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 pour les personnels de l'éducation nationale, une attestation d'exercice ;</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 attestation récente d'inscription auprès de Pôle emploi en cas de chômage et une attestation de la dernière activité professionnelle, ces deux éléments servant à vérifier l'ancienne activité professionnelle du conjoint ; </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Les documents administratifs en langue étrangère doivent être traduits en français.</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EE643B">
        <w:rPr>
          <w:rFonts w:ascii="Arial" w:eastAsia="Times New Roman" w:hAnsi="Arial"/>
          <w:b/>
          <w:bCs/>
          <w:kern w:val="0"/>
          <w:sz w:val="20"/>
          <w:szCs w:val="20"/>
          <w:lang w:eastAsia="fr-FR" w:bidi="ar-SA"/>
        </w:rPr>
        <w:t>Autres activités :</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EE643B">
        <w:rPr>
          <w:rFonts w:ascii="Arial" w:eastAsia="Times New Roman" w:hAnsi="Arial"/>
          <w:b/>
          <w:bCs/>
          <w:kern w:val="0"/>
          <w:sz w:val="20"/>
          <w:szCs w:val="20"/>
          <w:lang w:eastAsia="fr-FR" w:bidi="ar-SA"/>
        </w:rPr>
        <w:t>- profession libérale </w:t>
      </w:r>
      <w:r w:rsidRPr="00631A26">
        <w:rPr>
          <w:rFonts w:ascii="Arial" w:eastAsia="Times New Roman" w:hAnsi="Arial"/>
          <w:kern w:val="0"/>
          <w:sz w:val="20"/>
          <w:szCs w:val="20"/>
          <w:lang w:eastAsia="fr-FR" w:bidi="ar-SA"/>
        </w:rPr>
        <w:t>: attestation d'inscription auprès de l'Urssaf, justificatif d'immatriculation au registre du commerce et des sociétés (RCS) ou au répertoire des métiers (RM) ; </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EE643B">
        <w:rPr>
          <w:rFonts w:ascii="Arial" w:eastAsia="Times New Roman" w:hAnsi="Arial"/>
          <w:b/>
          <w:bCs/>
          <w:kern w:val="0"/>
          <w:sz w:val="20"/>
          <w:szCs w:val="20"/>
          <w:lang w:eastAsia="fr-FR" w:bidi="ar-SA"/>
        </w:rPr>
        <w:t xml:space="preserve">- chefs d'entreprise, les commerçants, les artisans et les </w:t>
      </w:r>
      <w:proofErr w:type="spellStart"/>
      <w:r w:rsidRPr="00EE643B">
        <w:rPr>
          <w:rFonts w:ascii="Arial" w:eastAsia="Times New Roman" w:hAnsi="Arial"/>
          <w:b/>
          <w:bCs/>
          <w:kern w:val="0"/>
          <w:sz w:val="20"/>
          <w:szCs w:val="20"/>
          <w:lang w:eastAsia="fr-FR" w:bidi="ar-SA"/>
        </w:rPr>
        <w:t>auto-entrepreneurs</w:t>
      </w:r>
      <w:proofErr w:type="spellEnd"/>
      <w:r w:rsidRPr="00EE643B">
        <w:rPr>
          <w:rFonts w:ascii="Arial" w:eastAsia="Times New Roman" w:hAnsi="Arial"/>
          <w:b/>
          <w:bCs/>
          <w:kern w:val="0"/>
          <w:sz w:val="20"/>
          <w:szCs w:val="20"/>
          <w:lang w:eastAsia="fr-FR" w:bidi="ar-SA"/>
        </w:rPr>
        <w:t xml:space="preserve"> ou structures équivalentes</w:t>
      </w:r>
      <w:r w:rsidRPr="00631A26">
        <w:rPr>
          <w:rFonts w:ascii="Arial" w:eastAsia="Times New Roman" w:hAnsi="Arial"/>
          <w:kern w:val="0"/>
          <w:sz w:val="20"/>
          <w:szCs w:val="20"/>
          <w:lang w:eastAsia="fr-FR" w:bidi="ar-SA"/>
        </w:rPr>
        <w:t> : joindre une attestation d'immatriculation au registre du commerce ou au répertoire des métiers ainsi que toutes pièces attestant de la réalité de l'activité et de son lieu d'exercice effectif (par exemple : déclaration récente de montant du chiffre d'affaires, bail commercial, preuves d'achat du matériel nécessaire à l'activité professionnelle, preuves de commercialisation de produits ou prestations récente,</w:t>
      </w:r>
      <w:r w:rsidR="00287711">
        <w:rPr>
          <w:rFonts w:ascii="Arial" w:eastAsia="Times New Roman" w:hAnsi="Arial"/>
          <w:kern w:val="0"/>
          <w:sz w:val="20"/>
          <w:szCs w:val="20"/>
          <w:lang w:eastAsia="fr-FR" w:bidi="ar-SA"/>
        </w:rPr>
        <w:t xml:space="preserve"> </w:t>
      </w:r>
      <w:r w:rsidRPr="00631A26">
        <w:rPr>
          <w:rFonts w:ascii="Arial" w:eastAsia="Times New Roman" w:hAnsi="Arial"/>
          <w:kern w:val="0"/>
          <w:sz w:val="20"/>
          <w:szCs w:val="20"/>
          <w:lang w:eastAsia="fr-FR" w:bidi="ar-SA"/>
        </w:rPr>
        <w:t>etc.) ;</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EE643B">
        <w:rPr>
          <w:rFonts w:ascii="Arial" w:eastAsia="Times New Roman" w:hAnsi="Arial"/>
          <w:b/>
          <w:bCs/>
          <w:kern w:val="0"/>
          <w:sz w:val="20"/>
          <w:szCs w:val="20"/>
          <w:lang w:eastAsia="fr-FR" w:bidi="ar-SA"/>
        </w:rPr>
        <w:t>- suivi d'une formation professionnelle</w:t>
      </w:r>
      <w:r w:rsidRPr="00631A26">
        <w:rPr>
          <w:rFonts w:ascii="Arial" w:eastAsia="Times New Roman" w:hAnsi="Arial"/>
          <w:kern w:val="0"/>
          <w:sz w:val="20"/>
          <w:szCs w:val="20"/>
          <w:lang w:eastAsia="fr-FR" w:bidi="ar-SA"/>
        </w:rPr>
        <w:t> : joindre une copie du contrat d'engagement précisant la date de début de la formation ainsi que sa dur</w:t>
      </w:r>
      <w:r w:rsidR="00287711">
        <w:rPr>
          <w:rFonts w:ascii="Arial" w:eastAsia="Times New Roman" w:hAnsi="Arial"/>
          <w:kern w:val="0"/>
          <w:sz w:val="20"/>
          <w:szCs w:val="20"/>
          <w:lang w:eastAsia="fr-FR" w:bidi="ar-SA"/>
        </w:rPr>
        <w:t>ée, accompagnée d'une copie des</w:t>
      </w:r>
      <w:r w:rsidRPr="00631A26">
        <w:rPr>
          <w:rFonts w:ascii="Arial" w:eastAsia="Times New Roman" w:hAnsi="Arial"/>
          <w:kern w:val="0"/>
          <w:sz w:val="20"/>
          <w:szCs w:val="20"/>
          <w:lang w:eastAsia="fr-FR" w:bidi="ar-SA"/>
        </w:rPr>
        <w:t> bulletins de salaire correspondants.</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 xml:space="preserve">Votre attention est appelée sur le fait que les fausses déclarations peuvent entraîner des sanctions disciplinaires. Dans ce cadre, </w:t>
      </w:r>
      <w:r w:rsidRPr="00EE643B">
        <w:rPr>
          <w:rFonts w:ascii="Arial" w:eastAsia="Times New Roman" w:hAnsi="Arial"/>
          <w:b/>
          <w:bCs/>
          <w:kern w:val="0"/>
          <w:sz w:val="20"/>
          <w:szCs w:val="20"/>
          <w:lang w:eastAsia="fr-FR" w:bidi="ar-SA"/>
        </w:rPr>
        <w:t>certaines pièces justificatives complémentaires pourront être exigées de la part des services départementaux.</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Pour bénéficier des points pour rapprochement de conjoints, les candidats doivent retourner la confirmation de la demande de changement de département aux services départementaux dont ils dépendent administrativement pour le 18 décembre 2019 au plus tard accompagnée des pièces justificatives.</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Concernant les demandes formulées après le 10 décembre 2019, les participants enverront le formulaire accompagné des pièces justificatives dans leur service de gestion avant le 21 janvier 2020.</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S'ils ne fournissent pas les justificatifs nécessaires, aucun point supplémentaire en dehors des points liés à leur situation professionnelle ne leur sera attribué.</w:t>
      </w:r>
    </w:p>
    <w:p w:rsidR="00631A26" w:rsidRDefault="00631A26" w:rsidP="00EE643B">
      <w:pPr>
        <w:widowControl/>
        <w:autoSpaceDN/>
        <w:jc w:val="both"/>
        <w:textAlignment w:val="auto"/>
        <w:rPr>
          <w:rFonts w:ascii="Arial" w:eastAsia="Times New Roman" w:hAnsi="Arial"/>
          <w:b/>
          <w:bCs/>
          <w:kern w:val="0"/>
          <w:sz w:val="20"/>
          <w:szCs w:val="20"/>
          <w:lang w:eastAsia="fr-FR" w:bidi="ar-SA"/>
        </w:rPr>
      </w:pPr>
      <w:r w:rsidRPr="00EE643B">
        <w:rPr>
          <w:rFonts w:ascii="Arial" w:eastAsia="Times New Roman" w:hAnsi="Arial"/>
          <w:b/>
          <w:bCs/>
          <w:kern w:val="0"/>
          <w:sz w:val="20"/>
          <w:szCs w:val="20"/>
          <w:lang w:eastAsia="fr-FR" w:bidi="ar-SA"/>
        </w:rPr>
        <w:t>Les bonifications accordées au titre de la situation familiale ne sont pas cumulables (rapprochement de conjoints, autorité parentale conjointe, situation de parent isolé, vœux liés).</w:t>
      </w:r>
    </w:p>
    <w:p w:rsidR="00A72F51" w:rsidRPr="00631A26" w:rsidRDefault="00A72F51" w:rsidP="00EE643B">
      <w:pPr>
        <w:widowControl/>
        <w:autoSpaceDN/>
        <w:jc w:val="both"/>
        <w:textAlignment w:val="auto"/>
        <w:rPr>
          <w:rFonts w:ascii="Arial" w:eastAsia="Times New Roman" w:hAnsi="Arial"/>
          <w:kern w:val="0"/>
          <w:sz w:val="20"/>
          <w:szCs w:val="20"/>
          <w:lang w:eastAsia="fr-FR" w:bidi="ar-SA"/>
        </w:rPr>
      </w:pP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I.2 Demandes formulées au titre de l'autorité parentale conjointe</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Les personnels ayant à charge un ou des enfants de moins de 18 ans au 1er septembre 2020 et exerçant l'autorité parentale conjointe (garde alternée, garde partagée, droits de visite) peuvent formuler une demande au titre de l'autorité parentale conjointe et bénéficier des bonifications accordées à ce titre, si l'autre parent exerce une activité professionnelle dans les conditions définies au paragraphe II.5.1.c.</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EE643B">
        <w:rPr>
          <w:rFonts w:ascii="Arial" w:eastAsia="Times New Roman" w:hAnsi="Arial"/>
          <w:b/>
          <w:bCs/>
          <w:i/>
          <w:iCs/>
          <w:kern w:val="0"/>
          <w:sz w:val="20"/>
          <w:szCs w:val="20"/>
          <w:lang w:eastAsia="fr-FR" w:bidi="ar-SA"/>
        </w:rPr>
        <w:t>Pièces justificatives à fournir par les enseignants au titre de la demande de bonification :</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 photocopie du livret de famille ou de l'extrait d'acte de naissance de l'enfant de moins de 18 ans à charge ;</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 décisions de justice concernant la résidence de l'enfant ;</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 décisions de justice et/ou justificatifs définissant les modalités d'exercice du droit de visite ou d'organisation de l'hébergement ;</w:t>
      </w:r>
    </w:p>
    <w:p w:rsid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 pièce justificative concernant le département sollicité (attestation liée à l'activité professionnelle de l'autre parent, ou certificat de scolarité de l'enfant et toute pièce pouvant justifier de l'adresse de l'autre parent détenteur de l'autorité parentale conjointe)</w:t>
      </w:r>
    </w:p>
    <w:p w:rsidR="00A72F51" w:rsidRPr="00631A26" w:rsidRDefault="00A72F51" w:rsidP="00EE643B">
      <w:pPr>
        <w:widowControl/>
        <w:autoSpaceDN/>
        <w:jc w:val="both"/>
        <w:textAlignment w:val="auto"/>
        <w:rPr>
          <w:rFonts w:ascii="Arial" w:eastAsia="Times New Roman" w:hAnsi="Arial"/>
          <w:kern w:val="0"/>
          <w:sz w:val="20"/>
          <w:szCs w:val="20"/>
          <w:lang w:eastAsia="fr-FR" w:bidi="ar-SA"/>
        </w:rPr>
      </w:pP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I.3 Demandes formulées au titre de la situation de parent isolé</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Une bonification forfaitaire de 40 points est accordée aux enseignants exerçant l'autorité parentale exclusive (veufs, veuves, célibataires, autre parent déchu de l'autorité parentale) d'un enfant mineur, quel que soit le nombre d'enfants âgés de moins de 18 ans au 31 août 2020. Elle n'est pas cumulable avec les bonifications attribuées au titre du rapprochement de conjoints ou des vœux liés.</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Elle vise à améliorer les conditions de vie de l'enfant mineur (facilité de garde, qu'elle qu'en soit la nature, proximité de la famille). Le 1er vœu formulé doit impérativement correspondre au département susceptible d'améliorer les conditions de vie de l'enfant.</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lastRenderedPageBreak/>
        <w:t>La séparation géographique d'un couple n'est pas considérée comme une situation d'isolement.</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EE643B">
        <w:rPr>
          <w:rFonts w:ascii="Arial" w:eastAsia="Times New Roman" w:hAnsi="Arial"/>
          <w:b/>
          <w:bCs/>
          <w:i/>
          <w:iCs/>
          <w:kern w:val="0"/>
          <w:sz w:val="20"/>
          <w:szCs w:val="20"/>
          <w:lang w:eastAsia="fr-FR" w:bidi="ar-SA"/>
        </w:rPr>
        <w:t>Pièces justificatives à produire par les enseignants à l'appui de la demande de bonification :</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 photocopie du livret de famille ou de l'extrait d'acte de naissance du ou des enfants ;</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 toute pièce officielle attestant de l'autorité parentale exclusive (enseignant vivant seul et supportant seul la charge du ou de plusieurs enfants) ;</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 toute pièce attestant que la demande de mutation améliorera les conditions de vie de l'enfant (proximité de la famille, facilité de garde quelle qu'en soit la nature, etc.).</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Les bonifications accordées au titre de la situation familiale ne sont pas cumulables (rapprochement de conjoints, autorité parentale conjointe, situation de parent isolé, vœux liés).</w:t>
      </w:r>
    </w:p>
    <w:p w:rsidR="004B5E57" w:rsidRPr="00EE643B" w:rsidRDefault="004B5E57" w:rsidP="00EE643B">
      <w:pPr>
        <w:widowControl/>
        <w:autoSpaceDE w:val="0"/>
        <w:adjustRightInd w:val="0"/>
        <w:jc w:val="both"/>
        <w:textAlignment w:val="auto"/>
        <w:rPr>
          <w:rFonts w:ascii="Arial" w:hAnsi="Arial"/>
          <w:kern w:val="0"/>
          <w:sz w:val="20"/>
          <w:szCs w:val="20"/>
          <w:lang w:bidi="ar-SA"/>
        </w:rPr>
      </w:pPr>
    </w:p>
    <w:p w:rsidR="00E824E7" w:rsidRPr="00EE643B" w:rsidRDefault="00907600" w:rsidP="00EE643B">
      <w:pPr>
        <w:widowControl/>
        <w:autoSpaceDE w:val="0"/>
        <w:adjustRightInd w:val="0"/>
        <w:jc w:val="both"/>
        <w:textAlignment w:val="auto"/>
        <w:rPr>
          <w:rFonts w:ascii="Arial" w:hAnsi="Arial"/>
          <w:b/>
          <w:bCs/>
          <w:kern w:val="0"/>
          <w:sz w:val="20"/>
          <w:szCs w:val="20"/>
          <w:lang w:bidi="ar-SA"/>
        </w:rPr>
      </w:pPr>
      <w:r w:rsidRPr="00EE643B">
        <w:rPr>
          <w:rFonts w:ascii="Arial" w:hAnsi="Arial"/>
          <w:b/>
          <w:bCs/>
          <w:kern w:val="0"/>
          <w:sz w:val="20"/>
          <w:szCs w:val="20"/>
          <w:lang w:bidi="ar-SA"/>
        </w:rPr>
        <w:t>Annexe II – Les éléments de valorisation liés à la situation de handicap</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Après avoir pris connaissance de l'avis du médecin de prévention, les IA-</w:t>
      </w:r>
      <w:proofErr w:type="spellStart"/>
      <w:r w:rsidRPr="00631A26">
        <w:rPr>
          <w:rFonts w:ascii="Arial" w:eastAsia="Times New Roman" w:hAnsi="Arial"/>
          <w:kern w:val="0"/>
          <w:sz w:val="20"/>
          <w:szCs w:val="20"/>
          <w:lang w:eastAsia="fr-FR" w:bidi="ar-SA"/>
        </w:rPr>
        <w:t>Dasen</w:t>
      </w:r>
      <w:proofErr w:type="spellEnd"/>
      <w:r w:rsidRPr="00631A26">
        <w:rPr>
          <w:rFonts w:ascii="Arial" w:eastAsia="Times New Roman" w:hAnsi="Arial"/>
          <w:kern w:val="0"/>
          <w:sz w:val="20"/>
          <w:szCs w:val="20"/>
          <w:lang w:eastAsia="fr-FR" w:bidi="ar-SA"/>
        </w:rPr>
        <w:t xml:space="preserve"> pourront attribuer une bonification de :</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- 100 points alloués à l'enseignant bénéficiaire de l'obligation d'emploi, sur chaque vœu émis. Cette bonification est personnelle et n'est pas cumulable avec la bonification de 800 points ci-dessous. Elle est attribuée d'office au candidat bénéficiaire de l'obligation d'emploi</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- 800 points sur le vœu 1 dès lors que ce vœu permet d'améliorer les conditions de vie de la personne handicapée. Cette bonification s'applique au conjoint bénéfice de l'obligation d'emploi (BOE) du candidat ainsi qu'aux situations médicales graves concernant l'enfant âgé de moins de 20 ans au 31 août 2020. La bonification pourra, le cas échéant être étendue à d'autres vœux, dès lors que le vœu 1 est bonifié.</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Pour les aider dans leur démarche, les enseignants peuvent s'adresser aux DRH et aux correspondants handicap dans les départements ou académies.</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EE643B">
        <w:rPr>
          <w:rFonts w:ascii="Arial" w:eastAsia="Times New Roman" w:hAnsi="Arial"/>
          <w:b/>
          <w:bCs/>
          <w:i/>
          <w:iCs/>
          <w:kern w:val="0"/>
          <w:sz w:val="20"/>
          <w:szCs w:val="20"/>
          <w:lang w:eastAsia="fr-FR" w:bidi="ar-SA"/>
        </w:rPr>
        <w:t>Pièces justificatives à fournir par les enseignants à l'appui d'une demande de bonification au titre du handicap :</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 la pièce attestant que l'agent entre dans le champ du BOE pour l'attribution de la bonification de 100 points.</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 tous les justificatifs attestant que la mutation sollicitée améliorera les conditions de vie de la personne handicapée, pour l'attribution des 800 points.</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Pour cela, les enseignants doivent, sans attendre la saisie des vœux de mutation, entreprendre les démarches auprès des maisons départementales des personnes handicapées (MDPH) afin d'obtenir, soit la reconnaissance de la qualité de travailleur handicapé (RQTH), soit la reconnaissance de l'invalidité (selon les conditions décrites au paragraphe II.5.2.A de la note de service) pour eux, leur conjoint ou au titre du handicap de l'enfant.</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Les deux bonifications accordées au titre du handicap ne sont pas cumulables.</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EE643B">
        <w:rPr>
          <w:rFonts w:ascii="Arial" w:eastAsia="Times New Roman" w:hAnsi="Arial"/>
          <w:b/>
          <w:bCs/>
          <w:i/>
          <w:iCs/>
          <w:kern w:val="0"/>
          <w:sz w:val="20"/>
          <w:szCs w:val="20"/>
          <w:lang w:eastAsia="fr-FR" w:bidi="ar-SA"/>
        </w:rPr>
        <w:t>Pour les personnes résidant hors de France et ne sachant pas comment obtenir la RQTH :</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 xml:space="preserve">L'article 7 de la loi n° 2011-901 du 28 juillet 2011 tendant à améliorer le fonctionnement des maisons départementales des personnes handicapées et portant diverses dispositions relatives à la politique du handicap prévoit que « pour les Français établis hors de France, la maison départementale des personnes handicapées (MDPH) compétente pour instruire leurs demandes est celle par l'intermédiaire de laquelle un droit ou une prestation leur a été antérieurement attribué. </w:t>
      </w:r>
      <w:r w:rsidRPr="00EE643B">
        <w:rPr>
          <w:rFonts w:ascii="Arial" w:eastAsia="Times New Roman" w:hAnsi="Arial"/>
          <w:b/>
          <w:bCs/>
          <w:kern w:val="0"/>
          <w:sz w:val="20"/>
          <w:szCs w:val="20"/>
          <w:lang w:eastAsia="fr-FR" w:bidi="ar-SA"/>
        </w:rPr>
        <w:t>En cas de première demande</w:t>
      </w:r>
      <w:r w:rsidRPr="00631A26">
        <w:rPr>
          <w:rFonts w:ascii="Arial" w:eastAsia="Times New Roman" w:hAnsi="Arial"/>
          <w:kern w:val="0"/>
          <w:sz w:val="20"/>
          <w:szCs w:val="20"/>
          <w:lang w:eastAsia="fr-FR" w:bidi="ar-SA"/>
        </w:rPr>
        <w:t>, les Français établis hors de France peuvent s'adresser à la maison départementale des personnes handicapées du département de leur choix ».</w:t>
      </w:r>
    </w:p>
    <w:p w:rsidR="00996BE7" w:rsidRDefault="00996BE7" w:rsidP="00EE643B">
      <w:pPr>
        <w:widowControl/>
        <w:autoSpaceDE w:val="0"/>
        <w:adjustRightInd w:val="0"/>
        <w:jc w:val="both"/>
        <w:textAlignment w:val="auto"/>
        <w:rPr>
          <w:rFonts w:ascii="Arial" w:hAnsi="Arial"/>
          <w:kern w:val="0"/>
          <w:sz w:val="20"/>
          <w:szCs w:val="20"/>
          <w:lang w:bidi="ar-SA"/>
        </w:rPr>
      </w:pPr>
    </w:p>
    <w:p w:rsidR="00E824E7" w:rsidRPr="00EE643B" w:rsidRDefault="00907600" w:rsidP="00EE643B">
      <w:pPr>
        <w:widowControl/>
        <w:autoSpaceDE w:val="0"/>
        <w:adjustRightInd w:val="0"/>
        <w:jc w:val="both"/>
        <w:textAlignment w:val="auto"/>
        <w:rPr>
          <w:rFonts w:ascii="Arial" w:hAnsi="Arial"/>
          <w:b/>
          <w:bCs/>
          <w:kern w:val="0"/>
          <w:sz w:val="20"/>
          <w:szCs w:val="20"/>
          <w:lang w:bidi="ar-SA"/>
        </w:rPr>
      </w:pPr>
      <w:r w:rsidRPr="00EE643B">
        <w:rPr>
          <w:rFonts w:ascii="Arial" w:hAnsi="Arial"/>
          <w:b/>
          <w:bCs/>
          <w:kern w:val="0"/>
          <w:sz w:val="20"/>
          <w:szCs w:val="20"/>
          <w:lang w:bidi="ar-SA"/>
        </w:rPr>
        <w:t xml:space="preserve">Annexe III – Affectation en Dom : éléments d'analyse permettant la reconnaissance du </w:t>
      </w:r>
      <w:proofErr w:type="spellStart"/>
      <w:r w:rsidRPr="00EE643B">
        <w:rPr>
          <w:rFonts w:ascii="Arial" w:hAnsi="Arial"/>
          <w:b/>
          <w:bCs/>
          <w:kern w:val="0"/>
          <w:sz w:val="20"/>
          <w:szCs w:val="20"/>
          <w:lang w:bidi="ar-SA"/>
        </w:rPr>
        <w:t>Cimm</w:t>
      </w:r>
      <w:proofErr w:type="spellEnd"/>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600 points sont attribués pour le vœu formulé en rang 1 et portant sur le département d'outre-mer (Guadeloupe, Guyane, Martinique, Réunion, Mayotte), pour les agents pouvant justifier de la présence dans ce département du centre de leurs intérêts matériels et moraux (</w:t>
      </w:r>
      <w:proofErr w:type="spellStart"/>
      <w:r w:rsidRPr="00631A26">
        <w:rPr>
          <w:rFonts w:ascii="Arial" w:eastAsia="Times New Roman" w:hAnsi="Arial"/>
          <w:kern w:val="0"/>
          <w:sz w:val="20"/>
          <w:szCs w:val="20"/>
          <w:lang w:eastAsia="fr-FR" w:bidi="ar-SA"/>
        </w:rPr>
        <w:t>Cimm</w:t>
      </w:r>
      <w:proofErr w:type="spellEnd"/>
      <w:r w:rsidRPr="00631A26">
        <w:rPr>
          <w:rFonts w:ascii="Arial" w:eastAsia="Times New Roman" w:hAnsi="Arial"/>
          <w:kern w:val="0"/>
          <w:sz w:val="20"/>
          <w:szCs w:val="20"/>
          <w:lang w:eastAsia="fr-FR" w:bidi="ar-SA"/>
        </w:rPr>
        <w:t>), en fonction de critères dégagés par la jurisprudence et précisés dans la circulaire DGAFP B7 n°2129 du 3 janvier 2007 relative aux conditions d'attribution des congés bonifiés aux agents des trois fonctions publiques. Ces critères d'appréciation sont les suivants : </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 le domicile des père et mère ou à défaut des parents les plus proches de l'agent (leur lien de parenté avec l'agent, leur âge, leur activité et, le cas échéant, leur état de santé seront précisés) ;</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 les biens fonciers situés sur le lieu de résidence habituelle déclarée dont l'agent est propriétaire ou locataire ;</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 le domicile avant l'entrée dans l'administration ;</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 le lieu de naissance de l'agent ;</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lastRenderedPageBreak/>
        <w:t>- le bénéfice antérieur d'un congé bonifié ;</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 le lieu où l'agent est titulaire de compte bancaires, d'épargne ou postaux ;</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 la commune où l'agent paie ses impôts, en particulier l'impôt sur le revenu ;</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 les affectations professionnelles ou administratives qui ont précédé son affectation actuelle ;</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 le lieu d'inscription de l'agent sur les listes électorales ;</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 les études effectuées sur le territoire par l'agent et/ou ses enfants ;</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 la fréquence des demandes de mutation vers le territoire considéré :</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 la fréquence et durée des séjours dans le territoire considéré.</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Ces critères ne sont ni exhaustifs ni nécessairement cumulatifs. Ils peuvent être complétés, le cas échéant, par tout autre élément d'appréciation pouvant être utile à l'administration. Plusieurs critères, qui ne seraient pas à eux seuls déterminants, doivent se combiner.</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 xml:space="preserve">Afin de faciliter l'analyse des critères d'appréciation permettant la reconnaissance du </w:t>
      </w:r>
      <w:proofErr w:type="spellStart"/>
      <w:r w:rsidRPr="00631A26">
        <w:rPr>
          <w:rFonts w:ascii="Arial" w:eastAsia="Times New Roman" w:hAnsi="Arial"/>
          <w:kern w:val="0"/>
          <w:sz w:val="20"/>
          <w:szCs w:val="20"/>
          <w:lang w:eastAsia="fr-FR" w:bidi="ar-SA"/>
        </w:rPr>
        <w:t>Cimm</w:t>
      </w:r>
      <w:proofErr w:type="spellEnd"/>
      <w:r w:rsidRPr="00631A26">
        <w:rPr>
          <w:rFonts w:ascii="Arial" w:eastAsia="Times New Roman" w:hAnsi="Arial"/>
          <w:kern w:val="0"/>
          <w:sz w:val="20"/>
          <w:szCs w:val="20"/>
          <w:lang w:eastAsia="fr-FR" w:bidi="ar-SA"/>
        </w:rPr>
        <w:t xml:space="preserve"> et des pièces justificatives à fournir pour chacun de ces critères, ce tableau devra être complété par les agents concernés et renvoyé avec le dossier de mutation.</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Cocher la case oui ou non pour chaque critère d'appréciation : </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(Fournir, pour chaque réponse positive, les pièces justificatives correspondantes)</w:t>
      </w:r>
    </w:p>
    <w:p w:rsidR="009C18AE" w:rsidRPr="00EE643B" w:rsidRDefault="009C18AE" w:rsidP="00EE643B">
      <w:pPr>
        <w:widowControl/>
        <w:autoSpaceDE w:val="0"/>
        <w:adjustRightInd w:val="0"/>
        <w:jc w:val="both"/>
        <w:textAlignment w:val="auto"/>
        <w:rPr>
          <w:rFonts w:ascii="Arial" w:hAnsi="Arial"/>
          <w:kern w:val="0"/>
          <w:sz w:val="20"/>
          <w:szCs w:val="20"/>
          <w:lang w:bidi="ar-SA"/>
        </w:rPr>
      </w:pPr>
    </w:p>
    <w:tbl>
      <w:tblPr>
        <w:tblpPr w:leftFromText="141" w:rightFromText="141" w:vertAnchor="text" w:horzAnchor="margin" w:tblpXSpec="center" w:tblpY="138"/>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9"/>
        <w:gridCol w:w="340"/>
        <w:gridCol w:w="340"/>
        <w:gridCol w:w="3768"/>
      </w:tblGrid>
      <w:tr w:rsidR="009C18AE" w:rsidRPr="00EE643B" w:rsidTr="004A39B7">
        <w:trPr>
          <w:trHeight w:val="84"/>
        </w:trPr>
        <w:tc>
          <w:tcPr>
            <w:tcW w:w="3769" w:type="dxa"/>
            <w:vAlign w:val="center"/>
          </w:tcPr>
          <w:p w:rsidR="009C18AE" w:rsidRPr="00EE643B" w:rsidRDefault="009C18AE" w:rsidP="004A39B7">
            <w:pPr>
              <w:pStyle w:val="Default"/>
              <w:suppressAutoHyphens/>
              <w:rPr>
                <w:sz w:val="20"/>
                <w:szCs w:val="20"/>
              </w:rPr>
            </w:pPr>
            <w:r w:rsidRPr="00EE643B">
              <w:rPr>
                <w:b/>
                <w:bCs/>
                <w:sz w:val="20"/>
                <w:szCs w:val="20"/>
              </w:rPr>
              <w:t>Critères d’appréciation</w:t>
            </w:r>
          </w:p>
        </w:tc>
        <w:tc>
          <w:tcPr>
            <w:tcW w:w="340" w:type="dxa"/>
            <w:shd w:val="clear" w:color="auto" w:fill="auto"/>
            <w:vAlign w:val="center"/>
          </w:tcPr>
          <w:p w:rsidR="009C18AE" w:rsidRPr="00EE643B" w:rsidRDefault="009C18AE" w:rsidP="004A39B7">
            <w:pPr>
              <w:pStyle w:val="Default"/>
              <w:suppressAutoHyphens/>
              <w:rPr>
                <w:b/>
                <w:bCs/>
                <w:sz w:val="20"/>
                <w:szCs w:val="20"/>
              </w:rPr>
            </w:pPr>
            <w:r w:rsidRPr="00EE643B">
              <w:rPr>
                <w:b/>
                <w:bCs/>
                <w:sz w:val="20"/>
                <w:szCs w:val="20"/>
              </w:rPr>
              <w:t>OUI</w:t>
            </w:r>
          </w:p>
        </w:tc>
        <w:tc>
          <w:tcPr>
            <w:tcW w:w="340" w:type="dxa"/>
            <w:vAlign w:val="center"/>
          </w:tcPr>
          <w:p w:rsidR="009C18AE" w:rsidRPr="00EE643B" w:rsidRDefault="009C18AE" w:rsidP="004A39B7">
            <w:pPr>
              <w:pStyle w:val="Default"/>
              <w:suppressAutoHyphens/>
              <w:rPr>
                <w:sz w:val="20"/>
                <w:szCs w:val="20"/>
              </w:rPr>
            </w:pPr>
            <w:r w:rsidRPr="00EE643B">
              <w:rPr>
                <w:b/>
                <w:bCs/>
                <w:sz w:val="20"/>
                <w:szCs w:val="20"/>
              </w:rPr>
              <w:t>NON</w:t>
            </w:r>
          </w:p>
        </w:tc>
        <w:tc>
          <w:tcPr>
            <w:tcW w:w="3768" w:type="dxa"/>
            <w:vAlign w:val="center"/>
          </w:tcPr>
          <w:p w:rsidR="009C18AE" w:rsidRPr="00EE643B" w:rsidRDefault="009C18AE" w:rsidP="004A39B7">
            <w:pPr>
              <w:pStyle w:val="Default"/>
              <w:suppressAutoHyphens/>
              <w:rPr>
                <w:sz w:val="20"/>
                <w:szCs w:val="20"/>
              </w:rPr>
            </w:pPr>
            <w:r w:rsidRPr="00EE643B">
              <w:rPr>
                <w:b/>
                <w:bCs/>
                <w:sz w:val="20"/>
                <w:szCs w:val="20"/>
              </w:rPr>
              <w:t>Exemples de pièces justificatives</w:t>
            </w:r>
          </w:p>
        </w:tc>
      </w:tr>
      <w:tr w:rsidR="009C18AE" w:rsidRPr="00EE643B" w:rsidTr="004A39B7">
        <w:trPr>
          <w:trHeight w:val="364"/>
        </w:trPr>
        <w:tc>
          <w:tcPr>
            <w:tcW w:w="3769" w:type="dxa"/>
            <w:vAlign w:val="center"/>
          </w:tcPr>
          <w:p w:rsidR="009C18AE" w:rsidRPr="00EE643B" w:rsidRDefault="009C18AE" w:rsidP="004A39B7">
            <w:pPr>
              <w:pStyle w:val="Default"/>
              <w:suppressAutoHyphens/>
              <w:rPr>
                <w:sz w:val="20"/>
                <w:szCs w:val="20"/>
              </w:rPr>
            </w:pPr>
            <w:r w:rsidRPr="00EE643B">
              <w:rPr>
                <w:sz w:val="20"/>
                <w:szCs w:val="20"/>
              </w:rPr>
              <w:t>Résidence des père et mère ou à défaut des parents les plus proches sur le territoire considéré</w:t>
            </w:r>
          </w:p>
        </w:tc>
        <w:tc>
          <w:tcPr>
            <w:tcW w:w="340" w:type="dxa"/>
            <w:vAlign w:val="center"/>
          </w:tcPr>
          <w:p w:rsidR="009C18AE" w:rsidRPr="00EE643B" w:rsidRDefault="009C18AE" w:rsidP="004A39B7">
            <w:pPr>
              <w:pStyle w:val="Default"/>
              <w:suppressAutoHyphens/>
              <w:rPr>
                <w:sz w:val="20"/>
                <w:szCs w:val="20"/>
              </w:rPr>
            </w:pPr>
          </w:p>
        </w:tc>
        <w:tc>
          <w:tcPr>
            <w:tcW w:w="340" w:type="dxa"/>
            <w:vAlign w:val="center"/>
          </w:tcPr>
          <w:p w:rsidR="009C18AE" w:rsidRPr="00EE643B" w:rsidRDefault="009C18AE" w:rsidP="004A39B7">
            <w:pPr>
              <w:pStyle w:val="Default"/>
              <w:suppressAutoHyphens/>
              <w:rPr>
                <w:sz w:val="20"/>
                <w:szCs w:val="20"/>
              </w:rPr>
            </w:pPr>
          </w:p>
        </w:tc>
        <w:tc>
          <w:tcPr>
            <w:tcW w:w="3768" w:type="dxa"/>
            <w:vAlign w:val="center"/>
          </w:tcPr>
          <w:p w:rsidR="009C18AE" w:rsidRPr="00EE643B" w:rsidRDefault="009C18AE" w:rsidP="004A39B7">
            <w:pPr>
              <w:pStyle w:val="Default"/>
              <w:suppressAutoHyphens/>
              <w:rPr>
                <w:sz w:val="20"/>
                <w:szCs w:val="20"/>
              </w:rPr>
            </w:pPr>
            <w:r w:rsidRPr="00EE643B">
              <w:rPr>
                <w:sz w:val="20"/>
                <w:szCs w:val="20"/>
              </w:rPr>
              <w:t>Pièce d’identité, titre de propriété, taxe foncière, quittance de loyer, taxe d’habitation, etc.</w:t>
            </w:r>
          </w:p>
        </w:tc>
      </w:tr>
      <w:tr w:rsidR="009C18AE" w:rsidRPr="00EE643B" w:rsidTr="004A39B7">
        <w:trPr>
          <w:trHeight w:val="364"/>
        </w:trPr>
        <w:tc>
          <w:tcPr>
            <w:tcW w:w="3769" w:type="dxa"/>
            <w:vAlign w:val="center"/>
          </w:tcPr>
          <w:p w:rsidR="009C18AE" w:rsidRPr="00EE643B" w:rsidRDefault="009C18AE" w:rsidP="004A39B7">
            <w:pPr>
              <w:pStyle w:val="Default"/>
              <w:suppressAutoHyphens/>
              <w:rPr>
                <w:sz w:val="20"/>
                <w:szCs w:val="20"/>
              </w:rPr>
            </w:pPr>
            <w:r w:rsidRPr="00EE643B">
              <w:rPr>
                <w:sz w:val="20"/>
                <w:szCs w:val="20"/>
              </w:rPr>
              <w:t>Biens fonciers situés sur le territoire considéré dont l’agent est propriétaire</w:t>
            </w:r>
          </w:p>
        </w:tc>
        <w:tc>
          <w:tcPr>
            <w:tcW w:w="340" w:type="dxa"/>
            <w:vAlign w:val="center"/>
          </w:tcPr>
          <w:p w:rsidR="009C18AE" w:rsidRPr="00EE643B" w:rsidRDefault="009C18AE" w:rsidP="004A39B7">
            <w:pPr>
              <w:pStyle w:val="Default"/>
              <w:suppressAutoHyphens/>
              <w:rPr>
                <w:sz w:val="20"/>
                <w:szCs w:val="20"/>
              </w:rPr>
            </w:pPr>
          </w:p>
        </w:tc>
        <w:tc>
          <w:tcPr>
            <w:tcW w:w="340" w:type="dxa"/>
            <w:vAlign w:val="center"/>
          </w:tcPr>
          <w:p w:rsidR="009C18AE" w:rsidRPr="00EE643B" w:rsidRDefault="009C18AE" w:rsidP="004A39B7">
            <w:pPr>
              <w:pStyle w:val="Default"/>
              <w:suppressAutoHyphens/>
              <w:rPr>
                <w:sz w:val="20"/>
                <w:szCs w:val="20"/>
              </w:rPr>
            </w:pPr>
          </w:p>
        </w:tc>
        <w:tc>
          <w:tcPr>
            <w:tcW w:w="3768" w:type="dxa"/>
            <w:vAlign w:val="center"/>
          </w:tcPr>
          <w:p w:rsidR="009C18AE" w:rsidRPr="00EE643B" w:rsidRDefault="009C18AE" w:rsidP="004A39B7">
            <w:pPr>
              <w:pStyle w:val="Default"/>
              <w:suppressAutoHyphens/>
              <w:rPr>
                <w:sz w:val="20"/>
                <w:szCs w:val="20"/>
              </w:rPr>
            </w:pPr>
            <w:r w:rsidRPr="00EE643B">
              <w:rPr>
                <w:sz w:val="20"/>
                <w:szCs w:val="20"/>
              </w:rPr>
              <w:t>Bail, quittance de loyer, taxe d’habitation, titre de propriété, taxe foncière, etc.</w:t>
            </w:r>
          </w:p>
        </w:tc>
      </w:tr>
      <w:tr w:rsidR="009C18AE" w:rsidRPr="00EE643B" w:rsidTr="004A39B7">
        <w:trPr>
          <w:trHeight w:val="224"/>
        </w:trPr>
        <w:tc>
          <w:tcPr>
            <w:tcW w:w="3769" w:type="dxa"/>
            <w:vAlign w:val="center"/>
          </w:tcPr>
          <w:p w:rsidR="009C18AE" w:rsidRPr="00EE643B" w:rsidRDefault="009C18AE" w:rsidP="004A39B7">
            <w:pPr>
              <w:pStyle w:val="Default"/>
              <w:suppressAutoHyphens/>
              <w:rPr>
                <w:sz w:val="20"/>
                <w:szCs w:val="20"/>
              </w:rPr>
            </w:pPr>
            <w:r w:rsidRPr="00EE643B">
              <w:rPr>
                <w:sz w:val="20"/>
                <w:szCs w:val="20"/>
              </w:rPr>
              <w:t>Résidence antérieure de l’agent sur le territoire considéré</w:t>
            </w:r>
          </w:p>
        </w:tc>
        <w:tc>
          <w:tcPr>
            <w:tcW w:w="340" w:type="dxa"/>
            <w:vAlign w:val="center"/>
          </w:tcPr>
          <w:p w:rsidR="009C18AE" w:rsidRPr="00EE643B" w:rsidRDefault="009C18AE" w:rsidP="004A39B7">
            <w:pPr>
              <w:pStyle w:val="Default"/>
              <w:suppressAutoHyphens/>
              <w:rPr>
                <w:sz w:val="20"/>
                <w:szCs w:val="20"/>
              </w:rPr>
            </w:pPr>
          </w:p>
        </w:tc>
        <w:tc>
          <w:tcPr>
            <w:tcW w:w="340" w:type="dxa"/>
            <w:vAlign w:val="center"/>
          </w:tcPr>
          <w:p w:rsidR="009C18AE" w:rsidRPr="00EE643B" w:rsidRDefault="009C18AE" w:rsidP="004A39B7">
            <w:pPr>
              <w:pStyle w:val="Default"/>
              <w:suppressAutoHyphens/>
              <w:rPr>
                <w:sz w:val="20"/>
                <w:szCs w:val="20"/>
              </w:rPr>
            </w:pPr>
          </w:p>
        </w:tc>
        <w:tc>
          <w:tcPr>
            <w:tcW w:w="3768" w:type="dxa"/>
            <w:vAlign w:val="center"/>
          </w:tcPr>
          <w:p w:rsidR="009C18AE" w:rsidRPr="00EE643B" w:rsidRDefault="009C18AE" w:rsidP="004A39B7">
            <w:pPr>
              <w:pStyle w:val="Default"/>
              <w:suppressAutoHyphens/>
              <w:rPr>
                <w:sz w:val="20"/>
                <w:szCs w:val="20"/>
              </w:rPr>
            </w:pPr>
            <w:r w:rsidRPr="00EE643B">
              <w:rPr>
                <w:sz w:val="20"/>
                <w:szCs w:val="20"/>
              </w:rPr>
              <w:t xml:space="preserve">Bail, quittance de loyer, taxe d’habitation, </w:t>
            </w:r>
            <w:proofErr w:type="spellStart"/>
            <w:r w:rsidRPr="00EE643B">
              <w:rPr>
                <w:sz w:val="20"/>
                <w:szCs w:val="20"/>
              </w:rPr>
              <w:t>etc</w:t>
            </w:r>
            <w:proofErr w:type="spellEnd"/>
          </w:p>
        </w:tc>
      </w:tr>
      <w:tr w:rsidR="009C18AE" w:rsidRPr="00EE643B" w:rsidTr="004A39B7">
        <w:trPr>
          <w:trHeight w:val="224"/>
        </w:trPr>
        <w:tc>
          <w:tcPr>
            <w:tcW w:w="3769" w:type="dxa"/>
            <w:vAlign w:val="center"/>
          </w:tcPr>
          <w:p w:rsidR="009C18AE" w:rsidRPr="00EE643B" w:rsidRDefault="009C18AE" w:rsidP="004A39B7">
            <w:pPr>
              <w:pStyle w:val="Default"/>
              <w:suppressAutoHyphens/>
              <w:rPr>
                <w:sz w:val="20"/>
                <w:szCs w:val="20"/>
              </w:rPr>
            </w:pPr>
            <w:r w:rsidRPr="00EE643B">
              <w:rPr>
                <w:sz w:val="20"/>
                <w:szCs w:val="20"/>
              </w:rPr>
              <w:t>Lieu de naissance de l’agent ou de ses enfants sur le territoire considéré</w:t>
            </w:r>
          </w:p>
        </w:tc>
        <w:tc>
          <w:tcPr>
            <w:tcW w:w="340" w:type="dxa"/>
            <w:vAlign w:val="center"/>
          </w:tcPr>
          <w:p w:rsidR="009C18AE" w:rsidRPr="00EE643B" w:rsidRDefault="009C18AE" w:rsidP="004A39B7">
            <w:pPr>
              <w:pStyle w:val="Default"/>
              <w:suppressAutoHyphens/>
              <w:rPr>
                <w:sz w:val="20"/>
                <w:szCs w:val="20"/>
              </w:rPr>
            </w:pPr>
          </w:p>
        </w:tc>
        <w:tc>
          <w:tcPr>
            <w:tcW w:w="340" w:type="dxa"/>
            <w:vAlign w:val="center"/>
          </w:tcPr>
          <w:p w:rsidR="009C18AE" w:rsidRPr="00EE643B" w:rsidRDefault="009C18AE" w:rsidP="004A39B7">
            <w:pPr>
              <w:pStyle w:val="Default"/>
              <w:suppressAutoHyphens/>
              <w:rPr>
                <w:sz w:val="20"/>
                <w:szCs w:val="20"/>
              </w:rPr>
            </w:pPr>
          </w:p>
        </w:tc>
        <w:tc>
          <w:tcPr>
            <w:tcW w:w="3768" w:type="dxa"/>
            <w:vAlign w:val="center"/>
          </w:tcPr>
          <w:p w:rsidR="009C18AE" w:rsidRPr="00EE643B" w:rsidRDefault="009C18AE" w:rsidP="004A39B7">
            <w:pPr>
              <w:pStyle w:val="Default"/>
              <w:suppressAutoHyphens/>
              <w:rPr>
                <w:sz w:val="20"/>
                <w:szCs w:val="20"/>
              </w:rPr>
            </w:pPr>
            <w:r w:rsidRPr="00EE643B">
              <w:rPr>
                <w:sz w:val="20"/>
                <w:szCs w:val="20"/>
              </w:rPr>
              <w:t>Pièce d’identité, extrait d’acte de naissance, etc.</w:t>
            </w:r>
          </w:p>
        </w:tc>
      </w:tr>
      <w:tr w:rsidR="009C18AE" w:rsidRPr="00EE643B" w:rsidTr="004A39B7">
        <w:trPr>
          <w:trHeight w:val="224"/>
        </w:trPr>
        <w:tc>
          <w:tcPr>
            <w:tcW w:w="3769" w:type="dxa"/>
            <w:vAlign w:val="center"/>
          </w:tcPr>
          <w:p w:rsidR="009C18AE" w:rsidRPr="00EE643B" w:rsidRDefault="009C18AE" w:rsidP="004A39B7">
            <w:pPr>
              <w:pStyle w:val="Default"/>
              <w:suppressAutoHyphens/>
              <w:rPr>
                <w:sz w:val="20"/>
                <w:szCs w:val="20"/>
              </w:rPr>
            </w:pPr>
            <w:r w:rsidRPr="00EE643B">
              <w:rPr>
                <w:sz w:val="20"/>
                <w:szCs w:val="20"/>
              </w:rPr>
              <w:t>Bénéfice antérieur d’un congé bonifié</w:t>
            </w:r>
          </w:p>
        </w:tc>
        <w:tc>
          <w:tcPr>
            <w:tcW w:w="340" w:type="dxa"/>
            <w:vAlign w:val="center"/>
          </w:tcPr>
          <w:p w:rsidR="009C18AE" w:rsidRPr="00EE643B" w:rsidRDefault="009C18AE" w:rsidP="004A39B7">
            <w:pPr>
              <w:pStyle w:val="Default"/>
              <w:suppressAutoHyphens/>
              <w:rPr>
                <w:sz w:val="20"/>
                <w:szCs w:val="20"/>
              </w:rPr>
            </w:pPr>
          </w:p>
        </w:tc>
        <w:tc>
          <w:tcPr>
            <w:tcW w:w="340" w:type="dxa"/>
            <w:vAlign w:val="center"/>
          </w:tcPr>
          <w:p w:rsidR="009C18AE" w:rsidRPr="00EE643B" w:rsidRDefault="009C18AE" w:rsidP="004A39B7">
            <w:pPr>
              <w:pStyle w:val="Default"/>
              <w:suppressAutoHyphens/>
              <w:rPr>
                <w:sz w:val="20"/>
                <w:szCs w:val="20"/>
              </w:rPr>
            </w:pPr>
          </w:p>
        </w:tc>
        <w:tc>
          <w:tcPr>
            <w:tcW w:w="3768" w:type="dxa"/>
            <w:vAlign w:val="center"/>
          </w:tcPr>
          <w:p w:rsidR="009C18AE" w:rsidRPr="00EE643B" w:rsidRDefault="009C18AE" w:rsidP="004A39B7">
            <w:pPr>
              <w:pStyle w:val="Default"/>
              <w:suppressAutoHyphens/>
              <w:rPr>
                <w:sz w:val="20"/>
                <w:szCs w:val="20"/>
              </w:rPr>
            </w:pPr>
            <w:r w:rsidRPr="00EE643B">
              <w:rPr>
                <w:sz w:val="20"/>
                <w:szCs w:val="20"/>
              </w:rPr>
              <w:t>Copie de la décision par laquelle a été octroyé le congé bonifié</w:t>
            </w:r>
          </w:p>
        </w:tc>
      </w:tr>
      <w:tr w:rsidR="009C18AE" w:rsidRPr="00EE643B" w:rsidTr="004A39B7">
        <w:trPr>
          <w:trHeight w:val="224"/>
        </w:trPr>
        <w:tc>
          <w:tcPr>
            <w:tcW w:w="3769" w:type="dxa"/>
            <w:vAlign w:val="center"/>
          </w:tcPr>
          <w:p w:rsidR="009C18AE" w:rsidRPr="00EE643B" w:rsidRDefault="009C18AE" w:rsidP="004A39B7">
            <w:pPr>
              <w:pStyle w:val="Default"/>
              <w:suppressAutoHyphens/>
              <w:rPr>
                <w:sz w:val="20"/>
                <w:szCs w:val="20"/>
              </w:rPr>
            </w:pPr>
            <w:r w:rsidRPr="00EE643B">
              <w:rPr>
                <w:sz w:val="20"/>
                <w:szCs w:val="20"/>
              </w:rPr>
              <w:t>Comptes bancaires, d’épargne ou postaux dont l’agent est titulaire sur le territoire considéré</w:t>
            </w:r>
          </w:p>
        </w:tc>
        <w:tc>
          <w:tcPr>
            <w:tcW w:w="340" w:type="dxa"/>
            <w:vAlign w:val="center"/>
          </w:tcPr>
          <w:p w:rsidR="009C18AE" w:rsidRPr="00EE643B" w:rsidRDefault="009C18AE" w:rsidP="004A39B7">
            <w:pPr>
              <w:pStyle w:val="Default"/>
              <w:suppressAutoHyphens/>
              <w:rPr>
                <w:sz w:val="20"/>
                <w:szCs w:val="20"/>
              </w:rPr>
            </w:pPr>
          </w:p>
        </w:tc>
        <w:tc>
          <w:tcPr>
            <w:tcW w:w="340" w:type="dxa"/>
            <w:vAlign w:val="center"/>
          </w:tcPr>
          <w:p w:rsidR="009C18AE" w:rsidRPr="00EE643B" w:rsidRDefault="009C18AE" w:rsidP="004A39B7">
            <w:pPr>
              <w:pStyle w:val="Default"/>
              <w:suppressAutoHyphens/>
              <w:rPr>
                <w:sz w:val="20"/>
                <w:szCs w:val="20"/>
              </w:rPr>
            </w:pPr>
          </w:p>
        </w:tc>
        <w:tc>
          <w:tcPr>
            <w:tcW w:w="3768" w:type="dxa"/>
            <w:vAlign w:val="center"/>
          </w:tcPr>
          <w:p w:rsidR="009C18AE" w:rsidRPr="00EE643B" w:rsidRDefault="009C18AE" w:rsidP="004A39B7">
            <w:pPr>
              <w:pStyle w:val="Default"/>
              <w:suppressAutoHyphens/>
              <w:rPr>
                <w:sz w:val="20"/>
                <w:szCs w:val="20"/>
              </w:rPr>
            </w:pPr>
            <w:r w:rsidRPr="00EE643B">
              <w:rPr>
                <w:sz w:val="20"/>
                <w:szCs w:val="20"/>
              </w:rPr>
              <w:t>Relevé d’identité bancaire, etc.</w:t>
            </w:r>
          </w:p>
        </w:tc>
      </w:tr>
      <w:tr w:rsidR="009C18AE" w:rsidRPr="00EE643B" w:rsidTr="004A39B7">
        <w:trPr>
          <w:trHeight w:val="224"/>
        </w:trPr>
        <w:tc>
          <w:tcPr>
            <w:tcW w:w="3769" w:type="dxa"/>
            <w:vAlign w:val="center"/>
          </w:tcPr>
          <w:p w:rsidR="009C18AE" w:rsidRPr="00EE643B" w:rsidRDefault="009C18AE" w:rsidP="004A39B7">
            <w:pPr>
              <w:pStyle w:val="Default"/>
              <w:suppressAutoHyphens/>
              <w:rPr>
                <w:sz w:val="20"/>
                <w:szCs w:val="20"/>
              </w:rPr>
            </w:pPr>
            <w:r w:rsidRPr="00EE643B">
              <w:rPr>
                <w:sz w:val="20"/>
                <w:szCs w:val="20"/>
              </w:rPr>
              <w:t>Paiement par l’agent de certains impôts, notamment l’impôt sur le revenu, sur le territoire considéré</w:t>
            </w:r>
          </w:p>
        </w:tc>
        <w:tc>
          <w:tcPr>
            <w:tcW w:w="340" w:type="dxa"/>
            <w:vAlign w:val="center"/>
          </w:tcPr>
          <w:p w:rsidR="009C18AE" w:rsidRPr="00EE643B" w:rsidRDefault="009C18AE" w:rsidP="004A39B7">
            <w:pPr>
              <w:pStyle w:val="Default"/>
              <w:suppressAutoHyphens/>
              <w:rPr>
                <w:sz w:val="20"/>
                <w:szCs w:val="20"/>
              </w:rPr>
            </w:pPr>
          </w:p>
        </w:tc>
        <w:tc>
          <w:tcPr>
            <w:tcW w:w="340" w:type="dxa"/>
            <w:vAlign w:val="center"/>
          </w:tcPr>
          <w:p w:rsidR="009C18AE" w:rsidRPr="00EE643B" w:rsidRDefault="009C18AE" w:rsidP="004A39B7">
            <w:pPr>
              <w:pStyle w:val="Default"/>
              <w:suppressAutoHyphens/>
              <w:rPr>
                <w:sz w:val="20"/>
                <w:szCs w:val="20"/>
              </w:rPr>
            </w:pPr>
          </w:p>
        </w:tc>
        <w:tc>
          <w:tcPr>
            <w:tcW w:w="3768" w:type="dxa"/>
            <w:vAlign w:val="center"/>
          </w:tcPr>
          <w:p w:rsidR="009C18AE" w:rsidRPr="00EE643B" w:rsidRDefault="009C18AE" w:rsidP="004A39B7">
            <w:pPr>
              <w:pStyle w:val="Default"/>
              <w:suppressAutoHyphens/>
              <w:rPr>
                <w:sz w:val="20"/>
                <w:szCs w:val="20"/>
              </w:rPr>
            </w:pPr>
            <w:r w:rsidRPr="00EE643B">
              <w:rPr>
                <w:sz w:val="20"/>
                <w:szCs w:val="20"/>
              </w:rPr>
              <w:t>Avis d’imposition</w:t>
            </w:r>
          </w:p>
        </w:tc>
      </w:tr>
      <w:tr w:rsidR="009C18AE" w:rsidRPr="00EE643B" w:rsidTr="004A39B7">
        <w:trPr>
          <w:trHeight w:val="224"/>
        </w:trPr>
        <w:tc>
          <w:tcPr>
            <w:tcW w:w="3769" w:type="dxa"/>
            <w:vAlign w:val="center"/>
          </w:tcPr>
          <w:p w:rsidR="009C18AE" w:rsidRPr="00EE643B" w:rsidRDefault="009C18AE" w:rsidP="004A39B7">
            <w:pPr>
              <w:pStyle w:val="Default"/>
              <w:suppressAutoHyphens/>
              <w:rPr>
                <w:sz w:val="20"/>
                <w:szCs w:val="20"/>
              </w:rPr>
            </w:pPr>
            <w:r w:rsidRPr="00EE643B">
              <w:rPr>
                <w:sz w:val="20"/>
                <w:szCs w:val="20"/>
              </w:rPr>
              <w:t>Affectations professionnelles</w:t>
            </w:r>
          </w:p>
          <w:p w:rsidR="009C18AE" w:rsidRPr="00EE643B" w:rsidRDefault="009C18AE" w:rsidP="004A39B7">
            <w:pPr>
              <w:pStyle w:val="Default"/>
              <w:suppressAutoHyphens/>
              <w:rPr>
                <w:sz w:val="20"/>
                <w:szCs w:val="20"/>
              </w:rPr>
            </w:pPr>
            <w:r w:rsidRPr="00EE643B">
              <w:rPr>
                <w:sz w:val="20"/>
                <w:szCs w:val="20"/>
              </w:rPr>
              <w:t>antérieures sur le territoire considéré</w:t>
            </w:r>
          </w:p>
        </w:tc>
        <w:tc>
          <w:tcPr>
            <w:tcW w:w="340" w:type="dxa"/>
            <w:vAlign w:val="center"/>
          </w:tcPr>
          <w:p w:rsidR="009C18AE" w:rsidRPr="00EE643B" w:rsidRDefault="009C18AE" w:rsidP="004A39B7">
            <w:pPr>
              <w:pStyle w:val="Default"/>
              <w:suppressAutoHyphens/>
              <w:rPr>
                <w:sz w:val="20"/>
                <w:szCs w:val="20"/>
              </w:rPr>
            </w:pPr>
          </w:p>
        </w:tc>
        <w:tc>
          <w:tcPr>
            <w:tcW w:w="340" w:type="dxa"/>
            <w:vAlign w:val="center"/>
          </w:tcPr>
          <w:p w:rsidR="009C18AE" w:rsidRPr="00EE643B" w:rsidRDefault="009C18AE" w:rsidP="004A39B7">
            <w:pPr>
              <w:pStyle w:val="Default"/>
              <w:suppressAutoHyphens/>
              <w:rPr>
                <w:sz w:val="20"/>
                <w:szCs w:val="20"/>
              </w:rPr>
            </w:pPr>
          </w:p>
        </w:tc>
        <w:tc>
          <w:tcPr>
            <w:tcW w:w="3768" w:type="dxa"/>
            <w:vAlign w:val="center"/>
          </w:tcPr>
          <w:p w:rsidR="009C18AE" w:rsidRPr="00EE643B" w:rsidRDefault="009C18AE" w:rsidP="004A39B7">
            <w:pPr>
              <w:pStyle w:val="Default"/>
              <w:suppressAutoHyphens/>
              <w:rPr>
                <w:sz w:val="20"/>
                <w:szCs w:val="20"/>
              </w:rPr>
            </w:pPr>
            <w:r w:rsidRPr="00EE643B">
              <w:rPr>
                <w:sz w:val="20"/>
                <w:szCs w:val="20"/>
              </w:rPr>
              <w:t>Attestations d’emploi correspondantes</w:t>
            </w:r>
          </w:p>
        </w:tc>
      </w:tr>
      <w:tr w:rsidR="009C18AE" w:rsidRPr="00EE643B" w:rsidTr="004A39B7">
        <w:trPr>
          <w:trHeight w:val="224"/>
        </w:trPr>
        <w:tc>
          <w:tcPr>
            <w:tcW w:w="3769" w:type="dxa"/>
            <w:vAlign w:val="center"/>
          </w:tcPr>
          <w:p w:rsidR="009C18AE" w:rsidRPr="00EE643B" w:rsidRDefault="009C18AE" w:rsidP="004A39B7">
            <w:pPr>
              <w:pStyle w:val="Default"/>
              <w:suppressAutoHyphens/>
              <w:rPr>
                <w:sz w:val="20"/>
                <w:szCs w:val="20"/>
              </w:rPr>
            </w:pPr>
            <w:r w:rsidRPr="00EE643B">
              <w:rPr>
                <w:sz w:val="20"/>
                <w:szCs w:val="20"/>
              </w:rPr>
              <w:t>Inscription de l’agent sur les listes électorales d’une commune du territoire considéré</w:t>
            </w:r>
          </w:p>
        </w:tc>
        <w:tc>
          <w:tcPr>
            <w:tcW w:w="340" w:type="dxa"/>
            <w:vAlign w:val="center"/>
          </w:tcPr>
          <w:p w:rsidR="009C18AE" w:rsidRPr="00EE643B" w:rsidRDefault="009C18AE" w:rsidP="004A39B7">
            <w:pPr>
              <w:pStyle w:val="Default"/>
              <w:suppressAutoHyphens/>
              <w:rPr>
                <w:sz w:val="20"/>
                <w:szCs w:val="20"/>
              </w:rPr>
            </w:pPr>
          </w:p>
        </w:tc>
        <w:tc>
          <w:tcPr>
            <w:tcW w:w="340" w:type="dxa"/>
            <w:vAlign w:val="center"/>
          </w:tcPr>
          <w:p w:rsidR="009C18AE" w:rsidRPr="00EE643B" w:rsidRDefault="009C18AE" w:rsidP="004A39B7">
            <w:pPr>
              <w:pStyle w:val="Default"/>
              <w:suppressAutoHyphens/>
              <w:rPr>
                <w:sz w:val="20"/>
                <w:szCs w:val="20"/>
              </w:rPr>
            </w:pPr>
          </w:p>
        </w:tc>
        <w:tc>
          <w:tcPr>
            <w:tcW w:w="3768" w:type="dxa"/>
            <w:vAlign w:val="center"/>
          </w:tcPr>
          <w:p w:rsidR="009C18AE" w:rsidRPr="00EE643B" w:rsidRDefault="009C18AE" w:rsidP="004A39B7">
            <w:pPr>
              <w:pStyle w:val="Default"/>
              <w:suppressAutoHyphens/>
              <w:rPr>
                <w:sz w:val="20"/>
                <w:szCs w:val="20"/>
              </w:rPr>
            </w:pPr>
            <w:r w:rsidRPr="00EE643B">
              <w:rPr>
                <w:sz w:val="20"/>
                <w:szCs w:val="20"/>
              </w:rPr>
              <w:t>Carte d’électeur</w:t>
            </w:r>
          </w:p>
        </w:tc>
      </w:tr>
      <w:tr w:rsidR="009C18AE" w:rsidRPr="00EE643B" w:rsidTr="004A39B7">
        <w:trPr>
          <w:trHeight w:val="225"/>
        </w:trPr>
        <w:tc>
          <w:tcPr>
            <w:tcW w:w="3769" w:type="dxa"/>
            <w:vAlign w:val="center"/>
          </w:tcPr>
          <w:p w:rsidR="009C18AE" w:rsidRPr="00EE643B" w:rsidRDefault="009C18AE" w:rsidP="004A39B7">
            <w:pPr>
              <w:pStyle w:val="Default"/>
              <w:suppressAutoHyphens/>
              <w:rPr>
                <w:sz w:val="20"/>
                <w:szCs w:val="20"/>
              </w:rPr>
            </w:pPr>
            <w:r w:rsidRPr="00EE643B">
              <w:rPr>
                <w:sz w:val="20"/>
                <w:szCs w:val="20"/>
              </w:rPr>
              <w:t>Etudes effectuées sur le territoire par l’agent et/ou ses enfants</w:t>
            </w:r>
          </w:p>
        </w:tc>
        <w:tc>
          <w:tcPr>
            <w:tcW w:w="340" w:type="dxa"/>
            <w:vAlign w:val="center"/>
          </w:tcPr>
          <w:p w:rsidR="009C18AE" w:rsidRPr="00EE643B" w:rsidRDefault="009C18AE" w:rsidP="004A39B7">
            <w:pPr>
              <w:pStyle w:val="Default"/>
              <w:suppressAutoHyphens/>
              <w:rPr>
                <w:sz w:val="20"/>
                <w:szCs w:val="20"/>
              </w:rPr>
            </w:pPr>
          </w:p>
        </w:tc>
        <w:tc>
          <w:tcPr>
            <w:tcW w:w="340" w:type="dxa"/>
            <w:vAlign w:val="center"/>
          </w:tcPr>
          <w:p w:rsidR="009C18AE" w:rsidRPr="00EE643B" w:rsidRDefault="009C18AE" w:rsidP="004A39B7">
            <w:pPr>
              <w:pStyle w:val="Default"/>
              <w:suppressAutoHyphens/>
              <w:rPr>
                <w:sz w:val="20"/>
                <w:szCs w:val="20"/>
              </w:rPr>
            </w:pPr>
          </w:p>
        </w:tc>
        <w:tc>
          <w:tcPr>
            <w:tcW w:w="3768" w:type="dxa"/>
            <w:vAlign w:val="center"/>
          </w:tcPr>
          <w:p w:rsidR="009C18AE" w:rsidRPr="00EE643B" w:rsidRDefault="009C18AE" w:rsidP="004A39B7">
            <w:pPr>
              <w:pStyle w:val="Default"/>
              <w:suppressAutoHyphens/>
              <w:rPr>
                <w:sz w:val="20"/>
                <w:szCs w:val="20"/>
              </w:rPr>
            </w:pPr>
            <w:r w:rsidRPr="00EE643B">
              <w:rPr>
                <w:sz w:val="20"/>
                <w:szCs w:val="20"/>
              </w:rPr>
              <w:t>Diplômes, certificats de scolarité, etc.</w:t>
            </w:r>
          </w:p>
        </w:tc>
      </w:tr>
      <w:tr w:rsidR="009C18AE" w:rsidRPr="00EE643B" w:rsidTr="004A39B7">
        <w:trPr>
          <w:trHeight w:val="224"/>
        </w:trPr>
        <w:tc>
          <w:tcPr>
            <w:tcW w:w="3769" w:type="dxa"/>
            <w:vAlign w:val="center"/>
          </w:tcPr>
          <w:p w:rsidR="009C18AE" w:rsidRPr="00EE643B" w:rsidRDefault="009C18AE" w:rsidP="004A39B7">
            <w:pPr>
              <w:pStyle w:val="Default"/>
              <w:suppressAutoHyphens/>
              <w:rPr>
                <w:sz w:val="20"/>
                <w:szCs w:val="20"/>
              </w:rPr>
            </w:pPr>
            <w:r w:rsidRPr="00EE643B">
              <w:rPr>
                <w:sz w:val="20"/>
                <w:szCs w:val="20"/>
              </w:rPr>
              <w:t>Demandes de mutation antérieures vers le territoire considéré</w:t>
            </w:r>
          </w:p>
        </w:tc>
        <w:tc>
          <w:tcPr>
            <w:tcW w:w="340" w:type="dxa"/>
            <w:vAlign w:val="center"/>
          </w:tcPr>
          <w:p w:rsidR="009C18AE" w:rsidRPr="00EE643B" w:rsidRDefault="009C18AE" w:rsidP="004A39B7">
            <w:pPr>
              <w:pStyle w:val="Default"/>
              <w:suppressAutoHyphens/>
              <w:rPr>
                <w:sz w:val="20"/>
                <w:szCs w:val="20"/>
              </w:rPr>
            </w:pPr>
          </w:p>
        </w:tc>
        <w:tc>
          <w:tcPr>
            <w:tcW w:w="340" w:type="dxa"/>
            <w:vAlign w:val="center"/>
          </w:tcPr>
          <w:p w:rsidR="009C18AE" w:rsidRPr="00EE643B" w:rsidRDefault="009C18AE" w:rsidP="004A39B7">
            <w:pPr>
              <w:pStyle w:val="Default"/>
              <w:suppressAutoHyphens/>
              <w:rPr>
                <w:sz w:val="20"/>
                <w:szCs w:val="20"/>
              </w:rPr>
            </w:pPr>
          </w:p>
        </w:tc>
        <w:tc>
          <w:tcPr>
            <w:tcW w:w="3768" w:type="dxa"/>
            <w:vAlign w:val="center"/>
          </w:tcPr>
          <w:p w:rsidR="009C18AE" w:rsidRPr="00EE643B" w:rsidRDefault="009C18AE" w:rsidP="004A39B7">
            <w:pPr>
              <w:pStyle w:val="Default"/>
              <w:suppressAutoHyphens/>
              <w:rPr>
                <w:sz w:val="20"/>
                <w:szCs w:val="20"/>
              </w:rPr>
            </w:pPr>
            <w:r w:rsidRPr="00EE643B">
              <w:rPr>
                <w:sz w:val="20"/>
                <w:szCs w:val="20"/>
              </w:rPr>
              <w:t>Copies des demandes correspondantes.</w:t>
            </w:r>
          </w:p>
        </w:tc>
      </w:tr>
      <w:tr w:rsidR="009C18AE" w:rsidRPr="00EE643B" w:rsidTr="004A39B7">
        <w:trPr>
          <w:trHeight w:val="224"/>
        </w:trPr>
        <w:tc>
          <w:tcPr>
            <w:tcW w:w="3769" w:type="dxa"/>
            <w:vAlign w:val="center"/>
          </w:tcPr>
          <w:p w:rsidR="009C18AE" w:rsidRPr="00EE643B" w:rsidRDefault="009C18AE" w:rsidP="004A39B7">
            <w:pPr>
              <w:pStyle w:val="Default"/>
              <w:suppressAutoHyphens/>
              <w:rPr>
                <w:sz w:val="20"/>
                <w:szCs w:val="20"/>
              </w:rPr>
            </w:pPr>
            <w:r w:rsidRPr="00EE643B">
              <w:rPr>
                <w:sz w:val="20"/>
                <w:szCs w:val="20"/>
              </w:rPr>
              <w:t>Durée et nombre de séjours dans le territoire considéré</w:t>
            </w:r>
          </w:p>
        </w:tc>
        <w:tc>
          <w:tcPr>
            <w:tcW w:w="340" w:type="dxa"/>
            <w:vAlign w:val="center"/>
          </w:tcPr>
          <w:p w:rsidR="009C18AE" w:rsidRPr="00EE643B" w:rsidRDefault="009C18AE" w:rsidP="004A39B7">
            <w:pPr>
              <w:pStyle w:val="Default"/>
              <w:suppressAutoHyphens/>
              <w:rPr>
                <w:sz w:val="20"/>
                <w:szCs w:val="20"/>
              </w:rPr>
            </w:pPr>
          </w:p>
        </w:tc>
        <w:tc>
          <w:tcPr>
            <w:tcW w:w="340" w:type="dxa"/>
            <w:vAlign w:val="center"/>
          </w:tcPr>
          <w:p w:rsidR="009C18AE" w:rsidRPr="00EE643B" w:rsidRDefault="009C18AE" w:rsidP="004A39B7">
            <w:pPr>
              <w:pStyle w:val="Default"/>
              <w:suppressAutoHyphens/>
              <w:rPr>
                <w:sz w:val="20"/>
                <w:szCs w:val="20"/>
              </w:rPr>
            </w:pPr>
          </w:p>
        </w:tc>
        <w:tc>
          <w:tcPr>
            <w:tcW w:w="3768" w:type="dxa"/>
            <w:vAlign w:val="center"/>
          </w:tcPr>
          <w:p w:rsidR="009C18AE" w:rsidRPr="00EE643B" w:rsidRDefault="009C18AE" w:rsidP="004A39B7">
            <w:pPr>
              <w:pStyle w:val="Default"/>
              <w:suppressAutoHyphens/>
              <w:rPr>
                <w:sz w:val="20"/>
                <w:szCs w:val="20"/>
              </w:rPr>
            </w:pPr>
            <w:r w:rsidRPr="00EE643B">
              <w:rPr>
                <w:sz w:val="20"/>
                <w:szCs w:val="20"/>
              </w:rPr>
              <w:t>Toutes pièces justifiant ces séjours.</w:t>
            </w:r>
          </w:p>
        </w:tc>
      </w:tr>
      <w:tr w:rsidR="009C18AE" w:rsidRPr="00EE643B" w:rsidTr="004A39B7">
        <w:trPr>
          <w:trHeight w:val="84"/>
        </w:trPr>
        <w:tc>
          <w:tcPr>
            <w:tcW w:w="3769" w:type="dxa"/>
            <w:vAlign w:val="center"/>
          </w:tcPr>
          <w:p w:rsidR="009C18AE" w:rsidRPr="00EE643B" w:rsidRDefault="009C18AE" w:rsidP="004A39B7">
            <w:pPr>
              <w:pStyle w:val="Default"/>
              <w:suppressAutoHyphens/>
              <w:rPr>
                <w:sz w:val="20"/>
                <w:szCs w:val="20"/>
              </w:rPr>
            </w:pPr>
            <w:r w:rsidRPr="00EE643B">
              <w:rPr>
                <w:sz w:val="20"/>
                <w:szCs w:val="20"/>
              </w:rPr>
              <w:t>Autre critère d’appréciation</w:t>
            </w:r>
          </w:p>
        </w:tc>
        <w:tc>
          <w:tcPr>
            <w:tcW w:w="340" w:type="dxa"/>
            <w:vAlign w:val="center"/>
          </w:tcPr>
          <w:p w:rsidR="009C18AE" w:rsidRPr="00EE643B" w:rsidRDefault="009C18AE" w:rsidP="004A39B7">
            <w:pPr>
              <w:pStyle w:val="Default"/>
              <w:suppressAutoHyphens/>
              <w:rPr>
                <w:sz w:val="20"/>
                <w:szCs w:val="20"/>
              </w:rPr>
            </w:pPr>
          </w:p>
        </w:tc>
        <w:tc>
          <w:tcPr>
            <w:tcW w:w="340" w:type="dxa"/>
            <w:vAlign w:val="center"/>
          </w:tcPr>
          <w:p w:rsidR="009C18AE" w:rsidRPr="00EE643B" w:rsidRDefault="009C18AE" w:rsidP="004A39B7">
            <w:pPr>
              <w:pStyle w:val="Default"/>
              <w:suppressAutoHyphens/>
              <w:rPr>
                <w:sz w:val="20"/>
                <w:szCs w:val="20"/>
              </w:rPr>
            </w:pPr>
          </w:p>
        </w:tc>
        <w:tc>
          <w:tcPr>
            <w:tcW w:w="3768" w:type="dxa"/>
            <w:vAlign w:val="center"/>
          </w:tcPr>
          <w:p w:rsidR="009C18AE" w:rsidRPr="00EE643B" w:rsidRDefault="009C18AE" w:rsidP="004A39B7">
            <w:pPr>
              <w:pStyle w:val="Default"/>
              <w:suppressAutoHyphens/>
              <w:rPr>
                <w:sz w:val="20"/>
                <w:szCs w:val="20"/>
              </w:rPr>
            </w:pPr>
          </w:p>
          <w:p w:rsidR="009C18AE" w:rsidRPr="00EE643B" w:rsidRDefault="009C18AE" w:rsidP="004A39B7">
            <w:pPr>
              <w:pStyle w:val="Default"/>
              <w:suppressAutoHyphens/>
              <w:rPr>
                <w:sz w:val="20"/>
                <w:szCs w:val="20"/>
              </w:rPr>
            </w:pPr>
          </w:p>
        </w:tc>
      </w:tr>
    </w:tbl>
    <w:p w:rsidR="008C5ACE" w:rsidRDefault="008C5ACE" w:rsidP="00EE643B">
      <w:pPr>
        <w:widowControl/>
        <w:autoSpaceDE w:val="0"/>
        <w:adjustRightInd w:val="0"/>
        <w:jc w:val="both"/>
        <w:textAlignment w:val="auto"/>
        <w:rPr>
          <w:rFonts w:ascii="Arial" w:hAnsi="Arial"/>
          <w:sz w:val="20"/>
          <w:szCs w:val="20"/>
        </w:rPr>
      </w:pPr>
    </w:p>
    <w:p w:rsidR="009C18AE" w:rsidRPr="00EE643B" w:rsidRDefault="00631A26" w:rsidP="00EE643B">
      <w:pPr>
        <w:widowControl/>
        <w:autoSpaceDE w:val="0"/>
        <w:adjustRightInd w:val="0"/>
        <w:jc w:val="both"/>
        <w:textAlignment w:val="auto"/>
        <w:rPr>
          <w:rFonts w:ascii="Arial" w:hAnsi="Arial"/>
          <w:sz w:val="20"/>
          <w:szCs w:val="20"/>
        </w:rPr>
      </w:pPr>
      <w:r w:rsidRPr="00EE643B">
        <w:rPr>
          <w:rFonts w:ascii="Arial" w:hAnsi="Arial"/>
          <w:sz w:val="20"/>
          <w:szCs w:val="20"/>
        </w:rPr>
        <w:t xml:space="preserve">Cette bonification accordée au titre du </w:t>
      </w:r>
      <w:proofErr w:type="spellStart"/>
      <w:r w:rsidRPr="00EE643B">
        <w:rPr>
          <w:rFonts w:ascii="Arial" w:hAnsi="Arial"/>
          <w:sz w:val="20"/>
          <w:szCs w:val="20"/>
        </w:rPr>
        <w:t>Cimm</w:t>
      </w:r>
      <w:proofErr w:type="spellEnd"/>
      <w:r w:rsidRPr="00EE643B">
        <w:rPr>
          <w:rFonts w:ascii="Arial" w:hAnsi="Arial"/>
          <w:sz w:val="20"/>
          <w:szCs w:val="20"/>
        </w:rPr>
        <w:t xml:space="preserve"> n'est pas cumulable avec les vœux liés ou avec les bonifications accordées au titre du rapprochement de conjoint, de l'autorité parentale conjointe.</w:t>
      </w:r>
    </w:p>
    <w:p w:rsidR="00631A26" w:rsidRDefault="00631A26" w:rsidP="00EE643B">
      <w:pPr>
        <w:widowControl/>
        <w:autoSpaceDE w:val="0"/>
        <w:adjustRightInd w:val="0"/>
        <w:jc w:val="both"/>
        <w:textAlignment w:val="auto"/>
        <w:rPr>
          <w:rFonts w:ascii="Arial" w:hAnsi="Arial"/>
          <w:kern w:val="0"/>
          <w:sz w:val="20"/>
          <w:szCs w:val="20"/>
          <w:lang w:bidi="ar-SA"/>
        </w:rPr>
      </w:pPr>
    </w:p>
    <w:p w:rsidR="00907600" w:rsidRPr="00EE643B" w:rsidRDefault="00907600" w:rsidP="00EE643B">
      <w:pPr>
        <w:widowControl/>
        <w:autoSpaceDE w:val="0"/>
        <w:adjustRightInd w:val="0"/>
        <w:jc w:val="both"/>
        <w:textAlignment w:val="auto"/>
        <w:rPr>
          <w:rFonts w:ascii="Arial" w:hAnsi="Arial"/>
          <w:b/>
          <w:bCs/>
          <w:kern w:val="0"/>
          <w:sz w:val="20"/>
          <w:szCs w:val="20"/>
          <w:lang w:bidi="ar-SA"/>
        </w:rPr>
      </w:pPr>
      <w:r w:rsidRPr="00EE643B">
        <w:rPr>
          <w:rFonts w:ascii="Arial" w:hAnsi="Arial"/>
          <w:b/>
          <w:bCs/>
          <w:kern w:val="0"/>
          <w:sz w:val="20"/>
          <w:szCs w:val="20"/>
          <w:lang w:bidi="ar-SA"/>
        </w:rPr>
        <w:t>Annexe IV – Les éléments de valorisation liés à l'expérience et au parcours professionnel de l'agent</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Tous les participants au mouvement bénéficient de la prise en compte de leur situation professionnelle : échelon, ancienneté de fonction dans le département au-delà de trois ans.</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IV.1 Ancienneté de service</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t>Pour le mouvement interdépartemental 2020, les points sont attribués pour l'échelon acquis au 31 août 2019 par promotion et pour l'échelon acquis au 1er septembre 2019 par classement ou reclassement.</w:t>
      </w:r>
    </w:p>
    <w:p w:rsidR="00631A26" w:rsidRPr="00631A26" w:rsidRDefault="00631A26" w:rsidP="00EE643B">
      <w:pPr>
        <w:widowControl/>
        <w:autoSpaceDN/>
        <w:jc w:val="both"/>
        <w:textAlignment w:val="auto"/>
        <w:rPr>
          <w:rFonts w:ascii="Arial" w:eastAsia="Times New Roman" w:hAnsi="Arial"/>
          <w:kern w:val="0"/>
          <w:sz w:val="20"/>
          <w:szCs w:val="20"/>
          <w:lang w:eastAsia="fr-FR" w:bidi="ar-SA"/>
        </w:rPr>
      </w:pPr>
      <w:r w:rsidRPr="00631A26">
        <w:rPr>
          <w:rFonts w:ascii="Arial" w:eastAsia="Times New Roman" w:hAnsi="Arial"/>
          <w:kern w:val="0"/>
          <w:sz w:val="20"/>
          <w:szCs w:val="20"/>
          <w:lang w:eastAsia="fr-FR" w:bidi="ar-SA"/>
        </w:rPr>
        <w:lastRenderedPageBreak/>
        <w:t>L'échelon des enseignants qui viennent d'être titularisés (ex PE stagiaires) pris en compte est celui du 1er septembre 2019.</w:t>
      </w:r>
    </w:p>
    <w:tbl>
      <w:tblPr>
        <w:tblpPr w:leftFromText="141" w:rightFromText="141" w:vertAnchor="text" w:horzAnchor="margin" w:tblpY="189"/>
        <w:tblW w:w="7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
        <w:gridCol w:w="1658"/>
        <w:gridCol w:w="1417"/>
        <w:gridCol w:w="1985"/>
        <w:gridCol w:w="869"/>
      </w:tblGrid>
      <w:tr w:rsidR="006F3839" w:rsidRPr="00EE643B" w:rsidTr="00287711">
        <w:trPr>
          <w:trHeight w:val="84"/>
        </w:trPr>
        <w:tc>
          <w:tcPr>
            <w:tcW w:w="1598" w:type="dxa"/>
            <w:vMerge w:val="restart"/>
            <w:vAlign w:val="center"/>
          </w:tcPr>
          <w:p w:rsidR="006F3839" w:rsidRPr="00EE643B" w:rsidRDefault="006F3839" w:rsidP="00EE643B">
            <w:pPr>
              <w:pStyle w:val="Default"/>
              <w:suppressAutoHyphens/>
              <w:jc w:val="both"/>
              <w:rPr>
                <w:sz w:val="20"/>
                <w:szCs w:val="20"/>
              </w:rPr>
            </w:pPr>
            <w:r w:rsidRPr="00EE643B">
              <w:rPr>
                <w:b/>
                <w:bCs/>
                <w:sz w:val="20"/>
                <w:szCs w:val="20"/>
              </w:rPr>
              <w:t xml:space="preserve">Instituteurs </w:t>
            </w:r>
          </w:p>
        </w:tc>
        <w:tc>
          <w:tcPr>
            <w:tcW w:w="5060" w:type="dxa"/>
            <w:gridSpan w:val="3"/>
            <w:vAlign w:val="center"/>
          </w:tcPr>
          <w:p w:rsidR="006F3839" w:rsidRPr="00EE643B" w:rsidRDefault="006F3839" w:rsidP="00EE643B">
            <w:pPr>
              <w:pStyle w:val="Default"/>
              <w:suppressAutoHyphens/>
              <w:jc w:val="both"/>
              <w:rPr>
                <w:sz w:val="20"/>
                <w:szCs w:val="20"/>
              </w:rPr>
            </w:pPr>
            <w:r w:rsidRPr="00EE643B">
              <w:rPr>
                <w:b/>
                <w:bCs/>
                <w:sz w:val="20"/>
                <w:szCs w:val="20"/>
              </w:rPr>
              <w:t>Professeurs des écoles</w:t>
            </w:r>
          </w:p>
        </w:tc>
        <w:tc>
          <w:tcPr>
            <w:tcW w:w="869" w:type="dxa"/>
            <w:vAlign w:val="center"/>
          </w:tcPr>
          <w:p w:rsidR="006F3839" w:rsidRPr="00EE643B" w:rsidRDefault="006F3839" w:rsidP="00287711">
            <w:pPr>
              <w:pStyle w:val="Default"/>
              <w:suppressAutoHyphens/>
              <w:jc w:val="center"/>
              <w:rPr>
                <w:sz w:val="20"/>
                <w:szCs w:val="20"/>
              </w:rPr>
            </w:pPr>
            <w:r w:rsidRPr="00EE643B">
              <w:rPr>
                <w:b/>
                <w:bCs/>
                <w:sz w:val="20"/>
                <w:szCs w:val="20"/>
              </w:rPr>
              <w:t>Points</w:t>
            </w:r>
          </w:p>
        </w:tc>
      </w:tr>
      <w:tr w:rsidR="006F3839" w:rsidRPr="00EE643B" w:rsidTr="00287711">
        <w:trPr>
          <w:trHeight w:val="84"/>
        </w:trPr>
        <w:tc>
          <w:tcPr>
            <w:tcW w:w="1598" w:type="dxa"/>
            <w:vMerge/>
            <w:vAlign w:val="center"/>
          </w:tcPr>
          <w:p w:rsidR="006F3839" w:rsidRPr="00EE643B" w:rsidRDefault="006F3839" w:rsidP="00EE643B">
            <w:pPr>
              <w:pStyle w:val="Default"/>
              <w:suppressAutoHyphens/>
              <w:jc w:val="both"/>
              <w:rPr>
                <w:sz w:val="20"/>
                <w:szCs w:val="20"/>
              </w:rPr>
            </w:pPr>
          </w:p>
        </w:tc>
        <w:tc>
          <w:tcPr>
            <w:tcW w:w="1658" w:type="dxa"/>
            <w:vAlign w:val="center"/>
          </w:tcPr>
          <w:p w:rsidR="006F3839" w:rsidRPr="00EE643B" w:rsidRDefault="006F3839" w:rsidP="00EE643B">
            <w:pPr>
              <w:pStyle w:val="Default"/>
              <w:suppressAutoHyphens/>
              <w:jc w:val="both"/>
              <w:rPr>
                <w:sz w:val="20"/>
                <w:szCs w:val="20"/>
              </w:rPr>
            </w:pPr>
            <w:r w:rsidRPr="00EE643B">
              <w:rPr>
                <w:sz w:val="20"/>
                <w:szCs w:val="20"/>
              </w:rPr>
              <w:t>Classe normale</w:t>
            </w:r>
          </w:p>
        </w:tc>
        <w:tc>
          <w:tcPr>
            <w:tcW w:w="1417" w:type="dxa"/>
            <w:vAlign w:val="center"/>
          </w:tcPr>
          <w:p w:rsidR="006F3839" w:rsidRPr="00EE643B" w:rsidRDefault="006F3839" w:rsidP="00EE643B">
            <w:pPr>
              <w:pStyle w:val="Default"/>
              <w:suppressAutoHyphens/>
              <w:jc w:val="both"/>
              <w:rPr>
                <w:sz w:val="20"/>
                <w:szCs w:val="20"/>
              </w:rPr>
            </w:pPr>
            <w:r w:rsidRPr="00EE643B">
              <w:rPr>
                <w:sz w:val="20"/>
                <w:szCs w:val="20"/>
              </w:rPr>
              <w:t>Hors classe</w:t>
            </w:r>
          </w:p>
        </w:tc>
        <w:tc>
          <w:tcPr>
            <w:tcW w:w="1985" w:type="dxa"/>
            <w:vAlign w:val="center"/>
          </w:tcPr>
          <w:p w:rsidR="006F3839" w:rsidRPr="00EE643B" w:rsidRDefault="006F3839" w:rsidP="00EE643B">
            <w:pPr>
              <w:pStyle w:val="Default"/>
              <w:suppressAutoHyphens/>
              <w:jc w:val="both"/>
              <w:rPr>
                <w:sz w:val="20"/>
                <w:szCs w:val="20"/>
              </w:rPr>
            </w:pPr>
            <w:r w:rsidRPr="00EE643B">
              <w:rPr>
                <w:sz w:val="20"/>
                <w:szCs w:val="20"/>
              </w:rPr>
              <w:t>Classe exceptionnelle</w:t>
            </w:r>
          </w:p>
        </w:tc>
        <w:tc>
          <w:tcPr>
            <w:tcW w:w="869" w:type="dxa"/>
            <w:vAlign w:val="center"/>
          </w:tcPr>
          <w:p w:rsidR="006F3839" w:rsidRPr="00EE643B" w:rsidRDefault="006F3839" w:rsidP="00287711">
            <w:pPr>
              <w:pStyle w:val="Default"/>
              <w:suppressAutoHyphens/>
              <w:jc w:val="center"/>
              <w:rPr>
                <w:sz w:val="20"/>
                <w:szCs w:val="20"/>
              </w:rPr>
            </w:pPr>
          </w:p>
        </w:tc>
      </w:tr>
      <w:tr w:rsidR="006F3839" w:rsidRPr="00EE643B" w:rsidTr="00287711">
        <w:trPr>
          <w:trHeight w:val="84"/>
        </w:trPr>
        <w:tc>
          <w:tcPr>
            <w:tcW w:w="6658" w:type="dxa"/>
            <w:gridSpan w:val="4"/>
            <w:vAlign w:val="center"/>
          </w:tcPr>
          <w:p w:rsidR="006F3839" w:rsidRPr="00EE643B" w:rsidRDefault="006F3839" w:rsidP="00EE643B">
            <w:pPr>
              <w:pStyle w:val="Default"/>
              <w:suppressAutoHyphens/>
              <w:jc w:val="both"/>
              <w:rPr>
                <w:sz w:val="20"/>
                <w:szCs w:val="20"/>
              </w:rPr>
            </w:pPr>
            <w:r w:rsidRPr="00EE643B">
              <w:rPr>
                <w:sz w:val="20"/>
                <w:szCs w:val="20"/>
              </w:rPr>
              <w:t xml:space="preserve">1 échelon </w:t>
            </w:r>
          </w:p>
        </w:tc>
        <w:tc>
          <w:tcPr>
            <w:tcW w:w="869" w:type="dxa"/>
            <w:vAlign w:val="center"/>
          </w:tcPr>
          <w:p w:rsidR="006F3839" w:rsidRPr="00EE643B" w:rsidRDefault="006F3839" w:rsidP="00287711">
            <w:pPr>
              <w:pStyle w:val="Default"/>
              <w:suppressAutoHyphens/>
              <w:jc w:val="center"/>
              <w:rPr>
                <w:sz w:val="20"/>
                <w:szCs w:val="20"/>
              </w:rPr>
            </w:pPr>
            <w:r w:rsidRPr="00EE643B">
              <w:rPr>
                <w:sz w:val="20"/>
                <w:szCs w:val="20"/>
              </w:rPr>
              <w:t>18</w:t>
            </w:r>
          </w:p>
        </w:tc>
      </w:tr>
      <w:tr w:rsidR="006F3839" w:rsidRPr="00EE643B" w:rsidTr="00287711">
        <w:trPr>
          <w:trHeight w:val="84"/>
        </w:trPr>
        <w:tc>
          <w:tcPr>
            <w:tcW w:w="6658" w:type="dxa"/>
            <w:gridSpan w:val="4"/>
            <w:vAlign w:val="center"/>
          </w:tcPr>
          <w:p w:rsidR="006F3839" w:rsidRPr="00EE643B" w:rsidRDefault="006F3839" w:rsidP="00EE643B">
            <w:pPr>
              <w:pStyle w:val="Default"/>
              <w:suppressAutoHyphens/>
              <w:jc w:val="both"/>
              <w:rPr>
                <w:sz w:val="20"/>
                <w:szCs w:val="20"/>
              </w:rPr>
            </w:pPr>
            <w:r w:rsidRPr="00EE643B">
              <w:rPr>
                <w:sz w:val="20"/>
                <w:szCs w:val="20"/>
              </w:rPr>
              <w:t xml:space="preserve">2ème échelon </w:t>
            </w:r>
          </w:p>
        </w:tc>
        <w:tc>
          <w:tcPr>
            <w:tcW w:w="869" w:type="dxa"/>
            <w:vAlign w:val="center"/>
          </w:tcPr>
          <w:p w:rsidR="006F3839" w:rsidRPr="00EE643B" w:rsidRDefault="006F3839" w:rsidP="00287711">
            <w:pPr>
              <w:pStyle w:val="Default"/>
              <w:suppressAutoHyphens/>
              <w:jc w:val="center"/>
              <w:rPr>
                <w:sz w:val="20"/>
                <w:szCs w:val="20"/>
              </w:rPr>
            </w:pPr>
            <w:r w:rsidRPr="00EE643B">
              <w:rPr>
                <w:sz w:val="20"/>
                <w:szCs w:val="20"/>
              </w:rPr>
              <w:t>18</w:t>
            </w:r>
          </w:p>
        </w:tc>
      </w:tr>
      <w:tr w:rsidR="006F3839" w:rsidRPr="00EE643B" w:rsidTr="00287711">
        <w:trPr>
          <w:trHeight w:val="108"/>
        </w:trPr>
        <w:tc>
          <w:tcPr>
            <w:tcW w:w="1598" w:type="dxa"/>
            <w:vAlign w:val="center"/>
          </w:tcPr>
          <w:p w:rsidR="006F3839" w:rsidRPr="00EE643B" w:rsidRDefault="006F3839" w:rsidP="00EE643B">
            <w:pPr>
              <w:pStyle w:val="Default"/>
              <w:suppressAutoHyphens/>
              <w:jc w:val="both"/>
              <w:rPr>
                <w:sz w:val="20"/>
                <w:szCs w:val="20"/>
              </w:rPr>
            </w:pPr>
            <w:r w:rsidRPr="00EE643B">
              <w:rPr>
                <w:sz w:val="20"/>
                <w:szCs w:val="20"/>
              </w:rPr>
              <w:t xml:space="preserve">3ème échelon </w:t>
            </w:r>
          </w:p>
        </w:tc>
        <w:tc>
          <w:tcPr>
            <w:tcW w:w="5060" w:type="dxa"/>
            <w:gridSpan w:val="3"/>
            <w:vAlign w:val="center"/>
          </w:tcPr>
          <w:p w:rsidR="006F3839" w:rsidRPr="00EE643B" w:rsidRDefault="006F3839" w:rsidP="00EE643B">
            <w:pPr>
              <w:pStyle w:val="Default"/>
              <w:suppressAutoHyphens/>
              <w:jc w:val="both"/>
              <w:rPr>
                <w:sz w:val="20"/>
                <w:szCs w:val="20"/>
              </w:rPr>
            </w:pPr>
            <w:r w:rsidRPr="00EE643B">
              <w:rPr>
                <w:sz w:val="20"/>
                <w:szCs w:val="20"/>
              </w:rPr>
              <w:t xml:space="preserve">2ème échelon </w:t>
            </w:r>
          </w:p>
        </w:tc>
        <w:tc>
          <w:tcPr>
            <w:tcW w:w="869" w:type="dxa"/>
            <w:vAlign w:val="center"/>
          </w:tcPr>
          <w:p w:rsidR="006F3839" w:rsidRPr="00EE643B" w:rsidRDefault="006F3839" w:rsidP="00287711">
            <w:pPr>
              <w:pStyle w:val="Default"/>
              <w:suppressAutoHyphens/>
              <w:jc w:val="center"/>
              <w:rPr>
                <w:sz w:val="20"/>
                <w:szCs w:val="20"/>
              </w:rPr>
            </w:pPr>
            <w:r w:rsidRPr="00EE643B">
              <w:rPr>
                <w:sz w:val="20"/>
                <w:szCs w:val="20"/>
              </w:rPr>
              <w:t>22</w:t>
            </w:r>
          </w:p>
        </w:tc>
      </w:tr>
      <w:tr w:rsidR="006F3839" w:rsidRPr="00EE643B" w:rsidTr="00287711">
        <w:trPr>
          <w:trHeight w:val="84"/>
        </w:trPr>
        <w:tc>
          <w:tcPr>
            <w:tcW w:w="1598" w:type="dxa"/>
            <w:vAlign w:val="center"/>
          </w:tcPr>
          <w:p w:rsidR="006F3839" w:rsidRPr="00EE643B" w:rsidRDefault="006F3839" w:rsidP="00EE643B">
            <w:pPr>
              <w:pStyle w:val="Default"/>
              <w:suppressAutoHyphens/>
              <w:jc w:val="both"/>
              <w:rPr>
                <w:sz w:val="20"/>
                <w:szCs w:val="20"/>
              </w:rPr>
            </w:pPr>
            <w:r w:rsidRPr="00EE643B">
              <w:rPr>
                <w:sz w:val="20"/>
                <w:szCs w:val="20"/>
              </w:rPr>
              <w:t xml:space="preserve">4ème échelon </w:t>
            </w:r>
          </w:p>
        </w:tc>
        <w:tc>
          <w:tcPr>
            <w:tcW w:w="5060" w:type="dxa"/>
            <w:gridSpan w:val="3"/>
            <w:vAlign w:val="center"/>
          </w:tcPr>
          <w:p w:rsidR="006F3839" w:rsidRPr="00EE643B" w:rsidRDefault="006F3839" w:rsidP="00EE643B">
            <w:pPr>
              <w:pStyle w:val="Default"/>
              <w:suppressAutoHyphens/>
              <w:jc w:val="both"/>
              <w:rPr>
                <w:sz w:val="20"/>
                <w:szCs w:val="20"/>
              </w:rPr>
            </w:pPr>
            <w:r w:rsidRPr="00EE643B">
              <w:rPr>
                <w:sz w:val="20"/>
                <w:szCs w:val="20"/>
              </w:rPr>
              <w:t xml:space="preserve">3ème échelon </w:t>
            </w:r>
          </w:p>
        </w:tc>
        <w:tc>
          <w:tcPr>
            <w:tcW w:w="869" w:type="dxa"/>
            <w:vAlign w:val="center"/>
          </w:tcPr>
          <w:p w:rsidR="006F3839" w:rsidRPr="00EE643B" w:rsidRDefault="006F3839" w:rsidP="00287711">
            <w:pPr>
              <w:pStyle w:val="Default"/>
              <w:suppressAutoHyphens/>
              <w:jc w:val="center"/>
              <w:rPr>
                <w:sz w:val="20"/>
                <w:szCs w:val="20"/>
              </w:rPr>
            </w:pPr>
            <w:r w:rsidRPr="00EE643B">
              <w:rPr>
                <w:sz w:val="20"/>
                <w:szCs w:val="20"/>
              </w:rPr>
              <w:t>22</w:t>
            </w:r>
          </w:p>
        </w:tc>
      </w:tr>
      <w:tr w:rsidR="006F3839" w:rsidRPr="00EE643B" w:rsidTr="00287711">
        <w:trPr>
          <w:trHeight w:val="84"/>
        </w:trPr>
        <w:tc>
          <w:tcPr>
            <w:tcW w:w="1598" w:type="dxa"/>
            <w:vAlign w:val="center"/>
          </w:tcPr>
          <w:p w:rsidR="006F3839" w:rsidRPr="00EE643B" w:rsidRDefault="006F3839" w:rsidP="00EE643B">
            <w:pPr>
              <w:pStyle w:val="Default"/>
              <w:suppressAutoHyphens/>
              <w:jc w:val="both"/>
              <w:rPr>
                <w:sz w:val="20"/>
                <w:szCs w:val="20"/>
              </w:rPr>
            </w:pPr>
            <w:r w:rsidRPr="00EE643B">
              <w:rPr>
                <w:sz w:val="20"/>
                <w:szCs w:val="20"/>
              </w:rPr>
              <w:t xml:space="preserve">5ème échelon </w:t>
            </w:r>
          </w:p>
        </w:tc>
        <w:tc>
          <w:tcPr>
            <w:tcW w:w="5060" w:type="dxa"/>
            <w:gridSpan w:val="3"/>
            <w:vAlign w:val="center"/>
          </w:tcPr>
          <w:p w:rsidR="006F3839" w:rsidRPr="00EE643B" w:rsidRDefault="006F3839" w:rsidP="00EE643B">
            <w:pPr>
              <w:pStyle w:val="Default"/>
              <w:suppressAutoHyphens/>
              <w:jc w:val="both"/>
              <w:rPr>
                <w:sz w:val="20"/>
                <w:szCs w:val="20"/>
              </w:rPr>
            </w:pPr>
            <w:r w:rsidRPr="00EE643B">
              <w:rPr>
                <w:sz w:val="20"/>
                <w:szCs w:val="20"/>
              </w:rPr>
              <w:t xml:space="preserve">4ème échelon </w:t>
            </w:r>
          </w:p>
        </w:tc>
        <w:tc>
          <w:tcPr>
            <w:tcW w:w="869" w:type="dxa"/>
            <w:vAlign w:val="center"/>
          </w:tcPr>
          <w:p w:rsidR="006F3839" w:rsidRPr="00EE643B" w:rsidRDefault="006F3839" w:rsidP="00287711">
            <w:pPr>
              <w:pStyle w:val="Default"/>
              <w:suppressAutoHyphens/>
              <w:jc w:val="center"/>
              <w:rPr>
                <w:sz w:val="20"/>
                <w:szCs w:val="20"/>
              </w:rPr>
            </w:pPr>
            <w:r w:rsidRPr="00EE643B">
              <w:rPr>
                <w:sz w:val="20"/>
                <w:szCs w:val="20"/>
              </w:rPr>
              <w:t>26</w:t>
            </w:r>
          </w:p>
        </w:tc>
      </w:tr>
      <w:tr w:rsidR="006F3839" w:rsidRPr="00EE643B" w:rsidTr="00287711">
        <w:trPr>
          <w:trHeight w:val="84"/>
        </w:trPr>
        <w:tc>
          <w:tcPr>
            <w:tcW w:w="1598" w:type="dxa"/>
            <w:vAlign w:val="center"/>
          </w:tcPr>
          <w:p w:rsidR="006F3839" w:rsidRPr="00EE643B" w:rsidRDefault="006F3839" w:rsidP="00EE643B">
            <w:pPr>
              <w:pStyle w:val="Default"/>
              <w:suppressAutoHyphens/>
              <w:jc w:val="both"/>
              <w:rPr>
                <w:sz w:val="20"/>
                <w:szCs w:val="20"/>
              </w:rPr>
            </w:pPr>
            <w:r w:rsidRPr="00EE643B">
              <w:rPr>
                <w:sz w:val="20"/>
                <w:szCs w:val="20"/>
              </w:rPr>
              <w:t xml:space="preserve">6ème échelon </w:t>
            </w:r>
          </w:p>
        </w:tc>
        <w:tc>
          <w:tcPr>
            <w:tcW w:w="5060" w:type="dxa"/>
            <w:gridSpan w:val="3"/>
            <w:vAlign w:val="center"/>
          </w:tcPr>
          <w:p w:rsidR="006F3839" w:rsidRPr="00EE643B" w:rsidRDefault="006F3839" w:rsidP="00EE643B">
            <w:pPr>
              <w:pStyle w:val="Default"/>
              <w:suppressAutoHyphens/>
              <w:jc w:val="both"/>
              <w:rPr>
                <w:sz w:val="20"/>
                <w:szCs w:val="20"/>
              </w:rPr>
            </w:pPr>
            <w:r w:rsidRPr="00EE643B">
              <w:rPr>
                <w:sz w:val="20"/>
                <w:szCs w:val="20"/>
              </w:rPr>
              <w:t xml:space="preserve">5ème échelon </w:t>
            </w:r>
          </w:p>
        </w:tc>
        <w:tc>
          <w:tcPr>
            <w:tcW w:w="869" w:type="dxa"/>
            <w:vAlign w:val="center"/>
          </w:tcPr>
          <w:p w:rsidR="006F3839" w:rsidRPr="00EE643B" w:rsidRDefault="006F3839" w:rsidP="00287711">
            <w:pPr>
              <w:pStyle w:val="Default"/>
              <w:suppressAutoHyphens/>
              <w:jc w:val="center"/>
              <w:rPr>
                <w:sz w:val="20"/>
                <w:szCs w:val="20"/>
              </w:rPr>
            </w:pPr>
            <w:r w:rsidRPr="00EE643B">
              <w:rPr>
                <w:sz w:val="20"/>
                <w:szCs w:val="20"/>
              </w:rPr>
              <w:t>29</w:t>
            </w:r>
          </w:p>
        </w:tc>
      </w:tr>
      <w:tr w:rsidR="006F3839" w:rsidRPr="00EE643B" w:rsidTr="00287711">
        <w:trPr>
          <w:trHeight w:val="84"/>
        </w:trPr>
        <w:tc>
          <w:tcPr>
            <w:tcW w:w="6658" w:type="dxa"/>
            <w:gridSpan w:val="4"/>
            <w:vAlign w:val="center"/>
          </w:tcPr>
          <w:p w:rsidR="006F3839" w:rsidRPr="00EE643B" w:rsidRDefault="006F3839" w:rsidP="00EE643B">
            <w:pPr>
              <w:pStyle w:val="Default"/>
              <w:suppressAutoHyphens/>
              <w:jc w:val="both"/>
              <w:rPr>
                <w:sz w:val="20"/>
                <w:szCs w:val="20"/>
              </w:rPr>
            </w:pPr>
            <w:r w:rsidRPr="00EE643B">
              <w:rPr>
                <w:sz w:val="20"/>
                <w:szCs w:val="20"/>
              </w:rPr>
              <w:t xml:space="preserve">7ème échelon </w:t>
            </w:r>
          </w:p>
        </w:tc>
        <w:tc>
          <w:tcPr>
            <w:tcW w:w="869" w:type="dxa"/>
            <w:vAlign w:val="center"/>
          </w:tcPr>
          <w:p w:rsidR="006F3839" w:rsidRPr="00EE643B" w:rsidRDefault="006F3839" w:rsidP="00287711">
            <w:pPr>
              <w:pStyle w:val="Default"/>
              <w:suppressAutoHyphens/>
              <w:jc w:val="center"/>
              <w:rPr>
                <w:sz w:val="20"/>
                <w:szCs w:val="20"/>
              </w:rPr>
            </w:pPr>
            <w:r w:rsidRPr="00EE643B">
              <w:rPr>
                <w:sz w:val="20"/>
                <w:szCs w:val="20"/>
              </w:rPr>
              <w:t>31</w:t>
            </w:r>
          </w:p>
        </w:tc>
      </w:tr>
      <w:tr w:rsidR="006F3839" w:rsidRPr="00EE643B" w:rsidTr="00287711">
        <w:trPr>
          <w:trHeight w:val="84"/>
        </w:trPr>
        <w:tc>
          <w:tcPr>
            <w:tcW w:w="1598" w:type="dxa"/>
            <w:vAlign w:val="center"/>
          </w:tcPr>
          <w:p w:rsidR="006F3839" w:rsidRPr="00EE643B" w:rsidRDefault="006F3839" w:rsidP="00EE643B">
            <w:pPr>
              <w:pStyle w:val="Default"/>
              <w:suppressAutoHyphens/>
              <w:jc w:val="both"/>
              <w:rPr>
                <w:sz w:val="20"/>
                <w:szCs w:val="20"/>
              </w:rPr>
            </w:pPr>
            <w:r w:rsidRPr="00EE643B">
              <w:rPr>
                <w:sz w:val="20"/>
                <w:szCs w:val="20"/>
              </w:rPr>
              <w:t xml:space="preserve">8ème échelon </w:t>
            </w:r>
          </w:p>
        </w:tc>
        <w:tc>
          <w:tcPr>
            <w:tcW w:w="5060" w:type="dxa"/>
            <w:gridSpan w:val="3"/>
            <w:vAlign w:val="center"/>
          </w:tcPr>
          <w:p w:rsidR="006F3839" w:rsidRPr="00EE643B" w:rsidRDefault="006F3839" w:rsidP="00EE643B">
            <w:pPr>
              <w:pStyle w:val="Default"/>
              <w:suppressAutoHyphens/>
              <w:jc w:val="both"/>
              <w:rPr>
                <w:sz w:val="20"/>
                <w:szCs w:val="20"/>
              </w:rPr>
            </w:pPr>
            <w:r w:rsidRPr="00EE643B">
              <w:rPr>
                <w:sz w:val="20"/>
                <w:szCs w:val="20"/>
              </w:rPr>
              <w:t xml:space="preserve">6ème échelon </w:t>
            </w:r>
          </w:p>
        </w:tc>
        <w:tc>
          <w:tcPr>
            <w:tcW w:w="869" w:type="dxa"/>
            <w:vAlign w:val="center"/>
          </w:tcPr>
          <w:p w:rsidR="006F3839" w:rsidRPr="00EE643B" w:rsidRDefault="006F3839" w:rsidP="00287711">
            <w:pPr>
              <w:pStyle w:val="Default"/>
              <w:suppressAutoHyphens/>
              <w:jc w:val="center"/>
              <w:rPr>
                <w:sz w:val="20"/>
                <w:szCs w:val="20"/>
              </w:rPr>
            </w:pPr>
            <w:r w:rsidRPr="00EE643B">
              <w:rPr>
                <w:sz w:val="20"/>
                <w:szCs w:val="20"/>
              </w:rPr>
              <w:t>33</w:t>
            </w:r>
          </w:p>
        </w:tc>
      </w:tr>
      <w:tr w:rsidR="006F3839" w:rsidRPr="00EE643B" w:rsidTr="00287711">
        <w:trPr>
          <w:trHeight w:val="84"/>
        </w:trPr>
        <w:tc>
          <w:tcPr>
            <w:tcW w:w="6658" w:type="dxa"/>
            <w:gridSpan w:val="4"/>
            <w:vAlign w:val="center"/>
          </w:tcPr>
          <w:p w:rsidR="006F3839" w:rsidRPr="00EE643B" w:rsidRDefault="006F3839" w:rsidP="00EE643B">
            <w:pPr>
              <w:pStyle w:val="Default"/>
              <w:suppressAutoHyphens/>
              <w:jc w:val="both"/>
              <w:rPr>
                <w:sz w:val="20"/>
                <w:szCs w:val="20"/>
              </w:rPr>
            </w:pPr>
            <w:r w:rsidRPr="00EE643B">
              <w:rPr>
                <w:sz w:val="20"/>
                <w:szCs w:val="20"/>
              </w:rPr>
              <w:t xml:space="preserve">9ème échelon </w:t>
            </w:r>
          </w:p>
        </w:tc>
        <w:tc>
          <w:tcPr>
            <w:tcW w:w="869" w:type="dxa"/>
            <w:vAlign w:val="center"/>
          </w:tcPr>
          <w:p w:rsidR="006F3839" w:rsidRPr="00EE643B" w:rsidRDefault="006F3839" w:rsidP="00287711">
            <w:pPr>
              <w:pStyle w:val="Default"/>
              <w:suppressAutoHyphens/>
              <w:jc w:val="center"/>
              <w:rPr>
                <w:sz w:val="20"/>
                <w:szCs w:val="20"/>
              </w:rPr>
            </w:pPr>
            <w:r w:rsidRPr="00EE643B">
              <w:rPr>
                <w:sz w:val="20"/>
                <w:szCs w:val="20"/>
              </w:rPr>
              <w:t>33</w:t>
            </w:r>
          </w:p>
        </w:tc>
      </w:tr>
      <w:tr w:rsidR="006F3839" w:rsidRPr="00EE643B" w:rsidTr="00287711">
        <w:trPr>
          <w:trHeight w:val="84"/>
        </w:trPr>
        <w:tc>
          <w:tcPr>
            <w:tcW w:w="1598" w:type="dxa"/>
            <w:vAlign w:val="center"/>
          </w:tcPr>
          <w:p w:rsidR="006F3839" w:rsidRPr="00EE643B" w:rsidRDefault="006F3839" w:rsidP="00EE643B">
            <w:pPr>
              <w:pStyle w:val="Default"/>
              <w:suppressAutoHyphens/>
              <w:jc w:val="both"/>
              <w:rPr>
                <w:sz w:val="20"/>
                <w:szCs w:val="20"/>
              </w:rPr>
            </w:pPr>
            <w:r w:rsidRPr="00EE643B">
              <w:rPr>
                <w:sz w:val="20"/>
                <w:szCs w:val="20"/>
              </w:rPr>
              <w:t xml:space="preserve">10ème échelon </w:t>
            </w:r>
          </w:p>
        </w:tc>
        <w:tc>
          <w:tcPr>
            <w:tcW w:w="1658" w:type="dxa"/>
            <w:vAlign w:val="center"/>
          </w:tcPr>
          <w:p w:rsidR="006F3839" w:rsidRPr="00EE643B" w:rsidRDefault="006F3839" w:rsidP="00EE643B">
            <w:pPr>
              <w:pStyle w:val="Default"/>
              <w:suppressAutoHyphens/>
              <w:jc w:val="both"/>
              <w:rPr>
                <w:sz w:val="20"/>
                <w:szCs w:val="20"/>
              </w:rPr>
            </w:pPr>
            <w:r w:rsidRPr="00EE643B">
              <w:rPr>
                <w:sz w:val="20"/>
                <w:szCs w:val="20"/>
              </w:rPr>
              <w:t xml:space="preserve">7ème échelon </w:t>
            </w:r>
          </w:p>
        </w:tc>
        <w:tc>
          <w:tcPr>
            <w:tcW w:w="1417" w:type="dxa"/>
            <w:vAlign w:val="center"/>
          </w:tcPr>
          <w:p w:rsidR="006F3839" w:rsidRPr="00EE643B" w:rsidRDefault="006F3839" w:rsidP="00EE643B">
            <w:pPr>
              <w:pStyle w:val="Default"/>
              <w:suppressAutoHyphens/>
              <w:jc w:val="both"/>
              <w:rPr>
                <w:sz w:val="20"/>
                <w:szCs w:val="20"/>
              </w:rPr>
            </w:pPr>
          </w:p>
        </w:tc>
        <w:tc>
          <w:tcPr>
            <w:tcW w:w="1985" w:type="dxa"/>
            <w:vAlign w:val="center"/>
          </w:tcPr>
          <w:p w:rsidR="006F3839" w:rsidRPr="00EE643B" w:rsidRDefault="006F3839" w:rsidP="00EE643B">
            <w:pPr>
              <w:pStyle w:val="Default"/>
              <w:suppressAutoHyphens/>
              <w:jc w:val="both"/>
              <w:rPr>
                <w:sz w:val="20"/>
                <w:szCs w:val="20"/>
              </w:rPr>
            </w:pPr>
          </w:p>
        </w:tc>
        <w:tc>
          <w:tcPr>
            <w:tcW w:w="869" w:type="dxa"/>
            <w:vAlign w:val="center"/>
          </w:tcPr>
          <w:p w:rsidR="006F3839" w:rsidRPr="00EE643B" w:rsidRDefault="006F3839" w:rsidP="00287711">
            <w:pPr>
              <w:pStyle w:val="Default"/>
              <w:suppressAutoHyphens/>
              <w:jc w:val="center"/>
              <w:rPr>
                <w:sz w:val="20"/>
                <w:szCs w:val="20"/>
              </w:rPr>
            </w:pPr>
            <w:r w:rsidRPr="00EE643B">
              <w:rPr>
                <w:sz w:val="20"/>
                <w:szCs w:val="20"/>
              </w:rPr>
              <w:t>36</w:t>
            </w:r>
          </w:p>
        </w:tc>
      </w:tr>
      <w:tr w:rsidR="006F3839" w:rsidRPr="00EE643B" w:rsidTr="00287711">
        <w:trPr>
          <w:trHeight w:val="84"/>
        </w:trPr>
        <w:tc>
          <w:tcPr>
            <w:tcW w:w="1598" w:type="dxa"/>
            <w:vAlign w:val="center"/>
          </w:tcPr>
          <w:p w:rsidR="006F3839" w:rsidRPr="00EE643B" w:rsidRDefault="006F3839" w:rsidP="00EE643B">
            <w:pPr>
              <w:pStyle w:val="Default"/>
              <w:suppressAutoHyphens/>
              <w:jc w:val="both"/>
              <w:rPr>
                <w:sz w:val="20"/>
                <w:szCs w:val="20"/>
              </w:rPr>
            </w:pPr>
            <w:r w:rsidRPr="00EE643B">
              <w:rPr>
                <w:sz w:val="20"/>
                <w:szCs w:val="20"/>
              </w:rPr>
              <w:t xml:space="preserve">11ème échelon </w:t>
            </w:r>
          </w:p>
        </w:tc>
        <w:tc>
          <w:tcPr>
            <w:tcW w:w="1658" w:type="dxa"/>
            <w:vAlign w:val="center"/>
          </w:tcPr>
          <w:p w:rsidR="006F3839" w:rsidRPr="00EE643B" w:rsidRDefault="006F3839" w:rsidP="00EE643B">
            <w:pPr>
              <w:pStyle w:val="Default"/>
              <w:suppressAutoHyphens/>
              <w:jc w:val="both"/>
              <w:rPr>
                <w:sz w:val="20"/>
                <w:szCs w:val="20"/>
              </w:rPr>
            </w:pPr>
            <w:r w:rsidRPr="00EE643B">
              <w:rPr>
                <w:sz w:val="20"/>
                <w:szCs w:val="20"/>
              </w:rPr>
              <w:t xml:space="preserve">8ème échelon </w:t>
            </w:r>
          </w:p>
        </w:tc>
        <w:tc>
          <w:tcPr>
            <w:tcW w:w="1417" w:type="dxa"/>
            <w:vAlign w:val="center"/>
          </w:tcPr>
          <w:p w:rsidR="00EE643B" w:rsidRPr="00EE643B" w:rsidRDefault="00EE643B" w:rsidP="00EE643B">
            <w:pPr>
              <w:pStyle w:val="Default"/>
              <w:suppressAutoHyphens/>
              <w:jc w:val="both"/>
              <w:rPr>
                <w:sz w:val="20"/>
                <w:szCs w:val="20"/>
              </w:rPr>
            </w:pPr>
            <w:r w:rsidRPr="00EE643B">
              <w:rPr>
                <w:sz w:val="20"/>
                <w:szCs w:val="20"/>
              </w:rPr>
              <w:t>1</w:t>
            </w:r>
            <w:r w:rsidRPr="00EE643B">
              <w:rPr>
                <w:sz w:val="20"/>
                <w:szCs w:val="20"/>
                <w:vertAlign w:val="superscript"/>
              </w:rPr>
              <w:t>er</w:t>
            </w:r>
            <w:r w:rsidRPr="00EE643B">
              <w:rPr>
                <w:sz w:val="20"/>
                <w:szCs w:val="20"/>
              </w:rPr>
              <w:t xml:space="preserve"> échelon</w:t>
            </w:r>
          </w:p>
        </w:tc>
        <w:tc>
          <w:tcPr>
            <w:tcW w:w="1985" w:type="dxa"/>
            <w:vAlign w:val="center"/>
          </w:tcPr>
          <w:p w:rsidR="006F3839" w:rsidRPr="00EE643B" w:rsidRDefault="006F3839" w:rsidP="00EE643B">
            <w:pPr>
              <w:pStyle w:val="Default"/>
              <w:suppressAutoHyphens/>
              <w:jc w:val="both"/>
              <w:rPr>
                <w:sz w:val="20"/>
                <w:szCs w:val="20"/>
              </w:rPr>
            </w:pPr>
          </w:p>
        </w:tc>
        <w:tc>
          <w:tcPr>
            <w:tcW w:w="869" w:type="dxa"/>
            <w:vAlign w:val="center"/>
          </w:tcPr>
          <w:p w:rsidR="006F3839" w:rsidRPr="00EE643B" w:rsidRDefault="006F3839" w:rsidP="00287711">
            <w:pPr>
              <w:pStyle w:val="Default"/>
              <w:suppressAutoHyphens/>
              <w:jc w:val="center"/>
              <w:rPr>
                <w:sz w:val="20"/>
                <w:szCs w:val="20"/>
              </w:rPr>
            </w:pPr>
            <w:r w:rsidRPr="00EE643B">
              <w:rPr>
                <w:sz w:val="20"/>
                <w:szCs w:val="20"/>
              </w:rPr>
              <w:t>39</w:t>
            </w:r>
          </w:p>
        </w:tc>
      </w:tr>
      <w:tr w:rsidR="00EE643B" w:rsidRPr="00EE643B" w:rsidTr="00287711">
        <w:trPr>
          <w:trHeight w:val="84"/>
        </w:trPr>
        <w:tc>
          <w:tcPr>
            <w:tcW w:w="1598" w:type="dxa"/>
            <w:vAlign w:val="center"/>
          </w:tcPr>
          <w:p w:rsidR="00EE643B" w:rsidRPr="00EE643B" w:rsidRDefault="00EE643B" w:rsidP="00EE643B">
            <w:pPr>
              <w:pStyle w:val="Default"/>
              <w:suppressAutoHyphens/>
              <w:jc w:val="both"/>
              <w:rPr>
                <w:sz w:val="20"/>
                <w:szCs w:val="20"/>
              </w:rPr>
            </w:pPr>
          </w:p>
        </w:tc>
        <w:tc>
          <w:tcPr>
            <w:tcW w:w="1658" w:type="dxa"/>
            <w:vAlign w:val="center"/>
          </w:tcPr>
          <w:p w:rsidR="00EE643B" w:rsidRPr="00EE643B" w:rsidRDefault="00EE643B" w:rsidP="00EE643B">
            <w:pPr>
              <w:pStyle w:val="Default"/>
              <w:suppressAutoHyphens/>
              <w:jc w:val="both"/>
              <w:rPr>
                <w:sz w:val="20"/>
                <w:szCs w:val="20"/>
              </w:rPr>
            </w:pPr>
            <w:r w:rsidRPr="00EE643B">
              <w:rPr>
                <w:sz w:val="20"/>
                <w:szCs w:val="20"/>
              </w:rPr>
              <w:t xml:space="preserve">9ème échelon </w:t>
            </w:r>
          </w:p>
        </w:tc>
        <w:tc>
          <w:tcPr>
            <w:tcW w:w="1417" w:type="dxa"/>
            <w:vAlign w:val="center"/>
          </w:tcPr>
          <w:p w:rsidR="00EE643B" w:rsidRPr="00EE643B" w:rsidRDefault="00EE643B" w:rsidP="00EE643B">
            <w:pPr>
              <w:pStyle w:val="Default"/>
              <w:suppressAutoHyphens/>
              <w:jc w:val="both"/>
              <w:rPr>
                <w:sz w:val="20"/>
                <w:szCs w:val="20"/>
              </w:rPr>
            </w:pPr>
            <w:r w:rsidRPr="00EE643B">
              <w:rPr>
                <w:sz w:val="20"/>
                <w:szCs w:val="20"/>
              </w:rPr>
              <w:t xml:space="preserve">2ème échelon </w:t>
            </w:r>
          </w:p>
        </w:tc>
        <w:tc>
          <w:tcPr>
            <w:tcW w:w="1985" w:type="dxa"/>
            <w:vAlign w:val="center"/>
          </w:tcPr>
          <w:p w:rsidR="00EE643B" w:rsidRPr="00EE643B" w:rsidRDefault="00EE643B" w:rsidP="00EE643B">
            <w:pPr>
              <w:pStyle w:val="Default"/>
              <w:suppressAutoHyphens/>
              <w:jc w:val="both"/>
              <w:rPr>
                <w:sz w:val="20"/>
                <w:szCs w:val="20"/>
              </w:rPr>
            </w:pPr>
          </w:p>
        </w:tc>
        <w:tc>
          <w:tcPr>
            <w:tcW w:w="869" w:type="dxa"/>
            <w:vAlign w:val="center"/>
          </w:tcPr>
          <w:p w:rsidR="00EE643B" w:rsidRPr="00EE643B" w:rsidRDefault="00EE643B" w:rsidP="00287711">
            <w:pPr>
              <w:pStyle w:val="Default"/>
              <w:suppressAutoHyphens/>
              <w:jc w:val="center"/>
              <w:rPr>
                <w:sz w:val="20"/>
                <w:szCs w:val="20"/>
              </w:rPr>
            </w:pPr>
            <w:r w:rsidRPr="00EE643B">
              <w:rPr>
                <w:sz w:val="20"/>
                <w:szCs w:val="20"/>
              </w:rPr>
              <w:t>39</w:t>
            </w:r>
          </w:p>
        </w:tc>
      </w:tr>
      <w:tr w:rsidR="00EE643B" w:rsidRPr="00EE643B" w:rsidTr="00287711">
        <w:trPr>
          <w:trHeight w:val="84"/>
        </w:trPr>
        <w:tc>
          <w:tcPr>
            <w:tcW w:w="1598" w:type="dxa"/>
            <w:vAlign w:val="center"/>
          </w:tcPr>
          <w:p w:rsidR="00EE643B" w:rsidRPr="00EE643B" w:rsidRDefault="00EE643B" w:rsidP="00EE643B">
            <w:pPr>
              <w:pStyle w:val="Default"/>
              <w:suppressAutoHyphens/>
              <w:jc w:val="both"/>
              <w:rPr>
                <w:sz w:val="20"/>
                <w:szCs w:val="20"/>
              </w:rPr>
            </w:pPr>
          </w:p>
        </w:tc>
        <w:tc>
          <w:tcPr>
            <w:tcW w:w="1658" w:type="dxa"/>
            <w:vAlign w:val="center"/>
          </w:tcPr>
          <w:p w:rsidR="00EE643B" w:rsidRPr="00EE643B" w:rsidRDefault="00EE643B" w:rsidP="00EE643B">
            <w:pPr>
              <w:pStyle w:val="Default"/>
              <w:suppressAutoHyphens/>
              <w:jc w:val="both"/>
              <w:rPr>
                <w:sz w:val="20"/>
                <w:szCs w:val="20"/>
              </w:rPr>
            </w:pPr>
            <w:r w:rsidRPr="00EE643B">
              <w:rPr>
                <w:sz w:val="20"/>
                <w:szCs w:val="20"/>
              </w:rPr>
              <w:t xml:space="preserve">10ème échelon </w:t>
            </w:r>
          </w:p>
        </w:tc>
        <w:tc>
          <w:tcPr>
            <w:tcW w:w="1417" w:type="dxa"/>
            <w:vAlign w:val="center"/>
          </w:tcPr>
          <w:p w:rsidR="00EE643B" w:rsidRPr="00EE643B" w:rsidRDefault="00EE643B" w:rsidP="00EE643B">
            <w:pPr>
              <w:pStyle w:val="Default"/>
              <w:suppressAutoHyphens/>
              <w:jc w:val="both"/>
              <w:rPr>
                <w:sz w:val="20"/>
                <w:szCs w:val="20"/>
              </w:rPr>
            </w:pPr>
            <w:r w:rsidRPr="00EE643B">
              <w:rPr>
                <w:sz w:val="20"/>
                <w:szCs w:val="20"/>
              </w:rPr>
              <w:t xml:space="preserve">3ème échelon </w:t>
            </w:r>
          </w:p>
        </w:tc>
        <w:tc>
          <w:tcPr>
            <w:tcW w:w="1985" w:type="dxa"/>
            <w:vAlign w:val="center"/>
          </w:tcPr>
          <w:p w:rsidR="00EE643B" w:rsidRPr="00EE643B" w:rsidRDefault="00EE643B" w:rsidP="00EE643B">
            <w:pPr>
              <w:pStyle w:val="Default"/>
              <w:suppressAutoHyphens/>
              <w:jc w:val="both"/>
              <w:rPr>
                <w:sz w:val="20"/>
                <w:szCs w:val="20"/>
              </w:rPr>
            </w:pPr>
            <w:r w:rsidRPr="00EE643B">
              <w:rPr>
                <w:sz w:val="20"/>
                <w:szCs w:val="20"/>
              </w:rPr>
              <w:t xml:space="preserve">1er échelon </w:t>
            </w:r>
          </w:p>
        </w:tc>
        <w:tc>
          <w:tcPr>
            <w:tcW w:w="869" w:type="dxa"/>
            <w:vAlign w:val="center"/>
          </w:tcPr>
          <w:p w:rsidR="00EE643B" w:rsidRPr="00EE643B" w:rsidRDefault="00EE643B" w:rsidP="00287711">
            <w:pPr>
              <w:pStyle w:val="Default"/>
              <w:suppressAutoHyphens/>
              <w:jc w:val="center"/>
              <w:rPr>
                <w:sz w:val="20"/>
                <w:szCs w:val="20"/>
              </w:rPr>
            </w:pPr>
            <w:r w:rsidRPr="00EE643B">
              <w:rPr>
                <w:sz w:val="20"/>
                <w:szCs w:val="20"/>
              </w:rPr>
              <w:t>39</w:t>
            </w:r>
          </w:p>
        </w:tc>
      </w:tr>
      <w:tr w:rsidR="00EE643B" w:rsidRPr="00EE643B" w:rsidTr="00287711">
        <w:trPr>
          <w:trHeight w:val="84"/>
        </w:trPr>
        <w:tc>
          <w:tcPr>
            <w:tcW w:w="1598" w:type="dxa"/>
            <w:vAlign w:val="center"/>
          </w:tcPr>
          <w:p w:rsidR="00EE643B" w:rsidRPr="00EE643B" w:rsidRDefault="00EE643B" w:rsidP="00EE643B">
            <w:pPr>
              <w:pStyle w:val="Default"/>
              <w:suppressAutoHyphens/>
              <w:jc w:val="both"/>
              <w:rPr>
                <w:sz w:val="20"/>
                <w:szCs w:val="20"/>
              </w:rPr>
            </w:pPr>
          </w:p>
        </w:tc>
        <w:tc>
          <w:tcPr>
            <w:tcW w:w="1658" w:type="dxa"/>
            <w:vAlign w:val="center"/>
          </w:tcPr>
          <w:p w:rsidR="00EE643B" w:rsidRPr="00EE643B" w:rsidRDefault="00EE643B" w:rsidP="00EE643B">
            <w:pPr>
              <w:pStyle w:val="Default"/>
              <w:suppressAutoHyphens/>
              <w:jc w:val="both"/>
              <w:rPr>
                <w:sz w:val="20"/>
                <w:szCs w:val="20"/>
              </w:rPr>
            </w:pPr>
            <w:r w:rsidRPr="00EE643B">
              <w:rPr>
                <w:sz w:val="20"/>
                <w:szCs w:val="20"/>
              </w:rPr>
              <w:t xml:space="preserve">11ème échelon </w:t>
            </w:r>
          </w:p>
        </w:tc>
        <w:tc>
          <w:tcPr>
            <w:tcW w:w="1417" w:type="dxa"/>
            <w:vAlign w:val="center"/>
          </w:tcPr>
          <w:p w:rsidR="00EE643B" w:rsidRPr="00EE643B" w:rsidRDefault="00EE643B" w:rsidP="00EE643B">
            <w:pPr>
              <w:pStyle w:val="Default"/>
              <w:suppressAutoHyphens/>
              <w:jc w:val="both"/>
              <w:rPr>
                <w:sz w:val="20"/>
                <w:szCs w:val="20"/>
              </w:rPr>
            </w:pPr>
            <w:r w:rsidRPr="00EE643B">
              <w:rPr>
                <w:sz w:val="20"/>
                <w:szCs w:val="20"/>
              </w:rPr>
              <w:t>4ème échelon</w:t>
            </w:r>
          </w:p>
        </w:tc>
        <w:tc>
          <w:tcPr>
            <w:tcW w:w="1985" w:type="dxa"/>
            <w:vAlign w:val="center"/>
          </w:tcPr>
          <w:p w:rsidR="00EE643B" w:rsidRPr="00EE643B" w:rsidRDefault="00EE643B" w:rsidP="00EE643B">
            <w:pPr>
              <w:pStyle w:val="Default"/>
              <w:suppressAutoHyphens/>
              <w:jc w:val="both"/>
              <w:rPr>
                <w:sz w:val="20"/>
                <w:szCs w:val="20"/>
              </w:rPr>
            </w:pPr>
            <w:r w:rsidRPr="00EE643B">
              <w:rPr>
                <w:sz w:val="20"/>
                <w:szCs w:val="20"/>
              </w:rPr>
              <w:t xml:space="preserve">2ème échelon </w:t>
            </w:r>
          </w:p>
        </w:tc>
        <w:tc>
          <w:tcPr>
            <w:tcW w:w="869" w:type="dxa"/>
            <w:vAlign w:val="center"/>
          </w:tcPr>
          <w:p w:rsidR="00EE643B" w:rsidRPr="00EE643B" w:rsidRDefault="00EE643B" w:rsidP="00287711">
            <w:pPr>
              <w:pStyle w:val="Default"/>
              <w:suppressAutoHyphens/>
              <w:jc w:val="center"/>
              <w:rPr>
                <w:sz w:val="20"/>
                <w:szCs w:val="20"/>
              </w:rPr>
            </w:pPr>
            <w:r w:rsidRPr="00EE643B">
              <w:rPr>
                <w:sz w:val="20"/>
                <w:szCs w:val="20"/>
              </w:rPr>
              <w:t>42</w:t>
            </w:r>
          </w:p>
        </w:tc>
      </w:tr>
      <w:tr w:rsidR="00EE643B" w:rsidRPr="00EE643B" w:rsidTr="00287711">
        <w:trPr>
          <w:trHeight w:val="84"/>
        </w:trPr>
        <w:tc>
          <w:tcPr>
            <w:tcW w:w="3256" w:type="dxa"/>
            <w:gridSpan w:val="2"/>
            <w:vAlign w:val="center"/>
          </w:tcPr>
          <w:p w:rsidR="00EE643B" w:rsidRPr="00EE643B" w:rsidRDefault="00EE643B" w:rsidP="00EE643B">
            <w:pPr>
              <w:pStyle w:val="Default"/>
              <w:suppressAutoHyphens/>
              <w:jc w:val="both"/>
              <w:rPr>
                <w:sz w:val="20"/>
                <w:szCs w:val="20"/>
              </w:rPr>
            </w:pPr>
          </w:p>
        </w:tc>
        <w:tc>
          <w:tcPr>
            <w:tcW w:w="1417" w:type="dxa"/>
            <w:vAlign w:val="center"/>
          </w:tcPr>
          <w:p w:rsidR="00EE643B" w:rsidRPr="00EE643B" w:rsidRDefault="00EE643B" w:rsidP="00EE643B">
            <w:pPr>
              <w:pStyle w:val="Default"/>
              <w:suppressAutoHyphens/>
              <w:jc w:val="both"/>
              <w:rPr>
                <w:sz w:val="20"/>
                <w:szCs w:val="20"/>
              </w:rPr>
            </w:pPr>
            <w:r w:rsidRPr="00EE643B">
              <w:rPr>
                <w:sz w:val="20"/>
                <w:szCs w:val="20"/>
              </w:rPr>
              <w:t xml:space="preserve">5ème échelon </w:t>
            </w:r>
          </w:p>
        </w:tc>
        <w:tc>
          <w:tcPr>
            <w:tcW w:w="1985" w:type="dxa"/>
            <w:vAlign w:val="center"/>
          </w:tcPr>
          <w:p w:rsidR="00EE643B" w:rsidRPr="00EE643B" w:rsidRDefault="00EE643B" w:rsidP="00EE643B">
            <w:pPr>
              <w:pStyle w:val="Default"/>
              <w:suppressAutoHyphens/>
              <w:jc w:val="both"/>
              <w:rPr>
                <w:sz w:val="20"/>
                <w:szCs w:val="20"/>
              </w:rPr>
            </w:pPr>
            <w:r w:rsidRPr="00EE643B">
              <w:rPr>
                <w:sz w:val="20"/>
                <w:szCs w:val="20"/>
              </w:rPr>
              <w:t xml:space="preserve">3ème échelon </w:t>
            </w:r>
          </w:p>
        </w:tc>
        <w:tc>
          <w:tcPr>
            <w:tcW w:w="869" w:type="dxa"/>
            <w:vAlign w:val="center"/>
          </w:tcPr>
          <w:p w:rsidR="00EE643B" w:rsidRPr="00EE643B" w:rsidRDefault="00EE643B" w:rsidP="00287711">
            <w:pPr>
              <w:pStyle w:val="Default"/>
              <w:suppressAutoHyphens/>
              <w:jc w:val="center"/>
              <w:rPr>
                <w:sz w:val="20"/>
                <w:szCs w:val="20"/>
              </w:rPr>
            </w:pPr>
            <w:r w:rsidRPr="00EE643B">
              <w:rPr>
                <w:sz w:val="20"/>
                <w:szCs w:val="20"/>
              </w:rPr>
              <w:t>45</w:t>
            </w:r>
          </w:p>
        </w:tc>
      </w:tr>
      <w:tr w:rsidR="00EE643B" w:rsidRPr="00EE643B" w:rsidTr="00287711">
        <w:trPr>
          <w:trHeight w:val="84"/>
        </w:trPr>
        <w:tc>
          <w:tcPr>
            <w:tcW w:w="3256" w:type="dxa"/>
            <w:gridSpan w:val="2"/>
            <w:vAlign w:val="center"/>
          </w:tcPr>
          <w:p w:rsidR="00EE643B" w:rsidRPr="00EE643B" w:rsidRDefault="00EE643B" w:rsidP="00EE643B">
            <w:pPr>
              <w:pStyle w:val="Default"/>
              <w:suppressAutoHyphens/>
              <w:jc w:val="both"/>
              <w:rPr>
                <w:sz w:val="20"/>
                <w:szCs w:val="20"/>
              </w:rPr>
            </w:pPr>
          </w:p>
        </w:tc>
        <w:tc>
          <w:tcPr>
            <w:tcW w:w="1417" w:type="dxa"/>
            <w:vAlign w:val="center"/>
          </w:tcPr>
          <w:p w:rsidR="00EE643B" w:rsidRPr="00EE643B" w:rsidRDefault="00EE643B" w:rsidP="00EE643B">
            <w:pPr>
              <w:pStyle w:val="Default"/>
              <w:suppressAutoHyphens/>
              <w:jc w:val="both"/>
              <w:rPr>
                <w:sz w:val="20"/>
                <w:szCs w:val="20"/>
              </w:rPr>
            </w:pPr>
            <w:r w:rsidRPr="00EE643B">
              <w:rPr>
                <w:sz w:val="20"/>
                <w:szCs w:val="20"/>
              </w:rPr>
              <w:t xml:space="preserve">6ème échelon </w:t>
            </w:r>
          </w:p>
        </w:tc>
        <w:tc>
          <w:tcPr>
            <w:tcW w:w="1985" w:type="dxa"/>
            <w:vAlign w:val="center"/>
          </w:tcPr>
          <w:p w:rsidR="00EE643B" w:rsidRPr="00EE643B" w:rsidRDefault="00EE643B" w:rsidP="00EE643B">
            <w:pPr>
              <w:pStyle w:val="Default"/>
              <w:suppressAutoHyphens/>
              <w:jc w:val="both"/>
              <w:rPr>
                <w:sz w:val="20"/>
                <w:szCs w:val="20"/>
              </w:rPr>
            </w:pPr>
            <w:r w:rsidRPr="00EE643B">
              <w:rPr>
                <w:sz w:val="20"/>
                <w:szCs w:val="20"/>
              </w:rPr>
              <w:t>4ème échelon</w:t>
            </w:r>
          </w:p>
        </w:tc>
        <w:tc>
          <w:tcPr>
            <w:tcW w:w="869" w:type="dxa"/>
            <w:vAlign w:val="center"/>
          </w:tcPr>
          <w:p w:rsidR="00EE643B" w:rsidRPr="00EE643B" w:rsidRDefault="00EE643B" w:rsidP="00287711">
            <w:pPr>
              <w:pStyle w:val="Default"/>
              <w:suppressAutoHyphens/>
              <w:jc w:val="center"/>
              <w:rPr>
                <w:sz w:val="20"/>
                <w:szCs w:val="20"/>
              </w:rPr>
            </w:pPr>
            <w:r w:rsidRPr="00EE643B">
              <w:rPr>
                <w:sz w:val="20"/>
                <w:szCs w:val="20"/>
              </w:rPr>
              <w:t>48</w:t>
            </w:r>
          </w:p>
        </w:tc>
      </w:tr>
      <w:tr w:rsidR="00EE643B" w:rsidRPr="00EE643B" w:rsidTr="00287711">
        <w:trPr>
          <w:trHeight w:val="84"/>
        </w:trPr>
        <w:tc>
          <w:tcPr>
            <w:tcW w:w="3256" w:type="dxa"/>
            <w:gridSpan w:val="2"/>
            <w:vAlign w:val="center"/>
          </w:tcPr>
          <w:p w:rsidR="00EE643B" w:rsidRPr="00EE643B" w:rsidRDefault="00EE643B" w:rsidP="00EE643B">
            <w:pPr>
              <w:pStyle w:val="Default"/>
              <w:suppressAutoHyphens/>
              <w:jc w:val="both"/>
              <w:rPr>
                <w:sz w:val="20"/>
                <w:szCs w:val="20"/>
              </w:rPr>
            </w:pPr>
          </w:p>
        </w:tc>
        <w:tc>
          <w:tcPr>
            <w:tcW w:w="1417" w:type="dxa"/>
            <w:vAlign w:val="center"/>
          </w:tcPr>
          <w:p w:rsidR="00EE643B" w:rsidRPr="00EE643B" w:rsidRDefault="00EE643B" w:rsidP="00EE643B">
            <w:pPr>
              <w:pStyle w:val="Default"/>
              <w:suppressAutoHyphens/>
              <w:jc w:val="both"/>
              <w:rPr>
                <w:sz w:val="20"/>
                <w:szCs w:val="20"/>
              </w:rPr>
            </w:pPr>
          </w:p>
        </w:tc>
        <w:tc>
          <w:tcPr>
            <w:tcW w:w="1985" w:type="dxa"/>
            <w:vAlign w:val="center"/>
          </w:tcPr>
          <w:p w:rsidR="00EE643B" w:rsidRPr="00EE643B" w:rsidRDefault="00EE643B" w:rsidP="00EE643B">
            <w:pPr>
              <w:pStyle w:val="Default"/>
              <w:suppressAutoHyphens/>
              <w:jc w:val="both"/>
              <w:rPr>
                <w:sz w:val="20"/>
                <w:szCs w:val="20"/>
              </w:rPr>
            </w:pPr>
            <w:r w:rsidRPr="00EE643B">
              <w:rPr>
                <w:sz w:val="20"/>
                <w:szCs w:val="20"/>
              </w:rPr>
              <w:t>Echelon spécial</w:t>
            </w:r>
          </w:p>
        </w:tc>
        <w:tc>
          <w:tcPr>
            <w:tcW w:w="869" w:type="dxa"/>
            <w:vAlign w:val="center"/>
          </w:tcPr>
          <w:p w:rsidR="00EE643B" w:rsidRPr="00EE643B" w:rsidRDefault="00EE643B" w:rsidP="00287711">
            <w:pPr>
              <w:pStyle w:val="Default"/>
              <w:suppressAutoHyphens/>
              <w:jc w:val="center"/>
              <w:rPr>
                <w:sz w:val="20"/>
                <w:szCs w:val="20"/>
              </w:rPr>
            </w:pPr>
            <w:r w:rsidRPr="00EE643B">
              <w:rPr>
                <w:sz w:val="20"/>
                <w:szCs w:val="20"/>
              </w:rPr>
              <w:t>53</w:t>
            </w:r>
          </w:p>
        </w:tc>
      </w:tr>
    </w:tbl>
    <w:p w:rsidR="009C18AE" w:rsidRPr="00EE643B" w:rsidRDefault="009C18AE" w:rsidP="00EE643B">
      <w:pPr>
        <w:widowControl/>
        <w:autoSpaceDE w:val="0"/>
        <w:adjustRightInd w:val="0"/>
        <w:jc w:val="both"/>
        <w:textAlignment w:val="auto"/>
        <w:rPr>
          <w:rFonts w:ascii="Arial" w:hAnsi="Arial"/>
          <w:kern w:val="0"/>
          <w:sz w:val="20"/>
          <w:szCs w:val="20"/>
          <w:lang w:bidi="ar-SA"/>
        </w:rPr>
      </w:pPr>
    </w:p>
    <w:p w:rsidR="009C18AE" w:rsidRPr="00EE643B" w:rsidRDefault="009C18AE" w:rsidP="00EE643B">
      <w:pPr>
        <w:widowControl/>
        <w:autoSpaceDE w:val="0"/>
        <w:adjustRightInd w:val="0"/>
        <w:jc w:val="both"/>
        <w:textAlignment w:val="auto"/>
        <w:rPr>
          <w:rFonts w:ascii="Arial" w:hAnsi="Arial"/>
          <w:kern w:val="0"/>
          <w:sz w:val="20"/>
          <w:szCs w:val="20"/>
          <w:lang w:bidi="ar-SA"/>
        </w:rPr>
      </w:pPr>
    </w:p>
    <w:p w:rsidR="009C18AE" w:rsidRPr="00EE643B" w:rsidRDefault="009C18AE" w:rsidP="00EE643B">
      <w:pPr>
        <w:widowControl/>
        <w:autoSpaceDE w:val="0"/>
        <w:adjustRightInd w:val="0"/>
        <w:jc w:val="both"/>
        <w:textAlignment w:val="auto"/>
        <w:rPr>
          <w:rFonts w:ascii="Arial" w:hAnsi="Arial"/>
          <w:kern w:val="0"/>
          <w:sz w:val="20"/>
          <w:szCs w:val="20"/>
          <w:lang w:bidi="ar-SA"/>
        </w:rPr>
      </w:pPr>
    </w:p>
    <w:p w:rsidR="009C18AE" w:rsidRPr="00EE643B" w:rsidRDefault="009C18AE" w:rsidP="00EE643B">
      <w:pPr>
        <w:widowControl/>
        <w:autoSpaceDE w:val="0"/>
        <w:adjustRightInd w:val="0"/>
        <w:jc w:val="both"/>
        <w:textAlignment w:val="auto"/>
        <w:rPr>
          <w:rFonts w:ascii="Arial" w:hAnsi="Arial"/>
          <w:kern w:val="0"/>
          <w:sz w:val="20"/>
          <w:szCs w:val="20"/>
          <w:lang w:bidi="ar-SA"/>
        </w:rPr>
      </w:pPr>
    </w:p>
    <w:p w:rsidR="009C18AE" w:rsidRPr="00EE643B" w:rsidRDefault="009C18AE" w:rsidP="00EE643B">
      <w:pPr>
        <w:widowControl/>
        <w:autoSpaceDE w:val="0"/>
        <w:adjustRightInd w:val="0"/>
        <w:jc w:val="both"/>
        <w:textAlignment w:val="auto"/>
        <w:rPr>
          <w:rFonts w:ascii="Arial" w:hAnsi="Arial"/>
          <w:kern w:val="0"/>
          <w:sz w:val="20"/>
          <w:szCs w:val="20"/>
          <w:lang w:bidi="ar-SA"/>
        </w:rPr>
      </w:pPr>
    </w:p>
    <w:p w:rsidR="009C18AE" w:rsidRPr="00EE643B" w:rsidRDefault="009C18AE" w:rsidP="00EE643B">
      <w:pPr>
        <w:widowControl/>
        <w:autoSpaceDE w:val="0"/>
        <w:adjustRightInd w:val="0"/>
        <w:jc w:val="both"/>
        <w:textAlignment w:val="auto"/>
        <w:rPr>
          <w:rFonts w:ascii="Arial" w:hAnsi="Arial"/>
          <w:kern w:val="0"/>
          <w:sz w:val="20"/>
          <w:szCs w:val="20"/>
          <w:lang w:bidi="ar-SA"/>
        </w:rPr>
      </w:pPr>
    </w:p>
    <w:p w:rsidR="009C18AE" w:rsidRPr="00EE643B" w:rsidRDefault="009C18AE" w:rsidP="00EE643B">
      <w:pPr>
        <w:widowControl/>
        <w:autoSpaceDE w:val="0"/>
        <w:adjustRightInd w:val="0"/>
        <w:jc w:val="both"/>
        <w:textAlignment w:val="auto"/>
        <w:rPr>
          <w:rFonts w:ascii="Arial" w:hAnsi="Arial"/>
          <w:kern w:val="0"/>
          <w:sz w:val="20"/>
          <w:szCs w:val="20"/>
          <w:lang w:bidi="ar-SA"/>
        </w:rPr>
      </w:pPr>
    </w:p>
    <w:p w:rsidR="009C18AE" w:rsidRPr="00EE643B" w:rsidRDefault="009C18AE" w:rsidP="00EE643B">
      <w:pPr>
        <w:widowControl/>
        <w:autoSpaceDE w:val="0"/>
        <w:adjustRightInd w:val="0"/>
        <w:jc w:val="both"/>
        <w:textAlignment w:val="auto"/>
        <w:rPr>
          <w:rFonts w:ascii="Arial" w:hAnsi="Arial"/>
          <w:kern w:val="0"/>
          <w:sz w:val="20"/>
          <w:szCs w:val="20"/>
          <w:lang w:bidi="ar-SA"/>
        </w:rPr>
      </w:pPr>
    </w:p>
    <w:p w:rsidR="009C18AE" w:rsidRPr="00EE643B" w:rsidRDefault="009C18AE" w:rsidP="00EE643B">
      <w:pPr>
        <w:widowControl/>
        <w:autoSpaceDE w:val="0"/>
        <w:adjustRightInd w:val="0"/>
        <w:jc w:val="both"/>
        <w:textAlignment w:val="auto"/>
        <w:rPr>
          <w:rFonts w:ascii="Arial" w:hAnsi="Arial"/>
          <w:kern w:val="0"/>
          <w:sz w:val="20"/>
          <w:szCs w:val="20"/>
          <w:lang w:bidi="ar-SA"/>
        </w:rPr>
      </w:pPr>
    </w:p>
    <w:p w:rsidR="009C18AE" w:rsidRPr="00EE643B" w:rsidRDefault="009C18AE" w:rsidP="00EE643B">
      <w:pPr>
        <w:widowControl/>
        <w:autoSpaceDE w:val="0"/>
        <w:adjustRightInd w:val="0"/>
        <w:jc w:val="both"/>
        <w:textAlignment w:val="auto"/>
        <w:rPr>
          <w:rFonts w:ascii="Arial" w:hAnsi="Arial"/>
          <w:kern w:val="0"/>
          <w:sz w:val="20"/>
          <w:szCs w:val="20"/>
          <w:lang w:bidi="ar-SA"/>
        </w:rPr>
      </w:pPr>
    </w:p>
    <w:p w:rsidR="009C18AE" w:rsidRPr="00EE643B" w:rsidRDefault="009C18AE" w:rsidP="00EE643B">
      <w:pPr>
        <w:widowControl/>
        <w:autoSpaceDE w:val="0"/>
        <w:adjustRightInd w:val="0"/>
        <w:jc w:val="both"/>
        <w:textAlignment w:val="auto"/>
        <w:rPr>
          <w:rFonts w:ascii="Arial" w:hAnsi="Arial"/>
          <w:kern w:val="0"/>
          <w:sz w:val="20"/>
          <w:szCs w:val="20"/>
          <w:lang w:bidi="ar-SA"/>
        </w:rPr>
      </w:pPr>
    </w:p>
    <w:p w:rsidR="009C18AE" w:rsidRPr="00EE643B" w:rsidRDefault="009C18AE" w:rsidP="00EE643B">
      <w:pPr>
        <w:widowControl/>
        <w:autoSpaceDE w:val="0"/>
        <w:adjustRightInd w:val="0"/>
        <w:jc w:val="both"/>
        <w:textAlignment w:val="auto"/>
        <w:rPr>
          <w:rFonts w:ascii="Arial" w:hAnsi="Arial"/>
          <w:kern w:val="0"/>
          <w:sz w:val="20"/>
          <w:szCs w:val="20"/>
          <w:lang w:bidi="ar-SA"/>
        </w:rPr>
      </w:pPr>
    </w:p>
    <w:p w:rsidR="009C18AE" w:rsidRPr="00EE643B" w:rsidRDefault="009C18AE" w:rsidP="00EE643B">
      <w:pPr>
        <w:widowControl/>
        <w:autoSpaceDE w:val="0"/>
        <w:adjustRightInd w:val="0"/>
        <w:jc w:val="both"/>
        <w:textAlignment w:val="auto"/>
        <w:rPr>
          <w:rFonts w:ascii="Arial" w:hAnsi="Arial"/>
          <w:kern w:val="0"/>
          <w:sz w:val="20"/>
          <w:szCs w:val="20"/>
          <w:lang w:bidi="ar-SA"/>
        </w:rPr>
      </w:pPr>
    </w:p>
    <w:p w:rsidR="009C18AE" w:rsidRPr="00EE643B" w:rsidRDefault="009C18AE" w:rsidP="00EE643B">
      <w:pPr>
        <w:widowControl/>
        <w:autoSpaceDE w:val="0"/>
        <w:adjustRightInd w:val="0"/>
        <w:jc w:val="both"/>
        <w:textAlignment w:val="auto"/>
        <w:rPr>
          <w:rFonts w:ascii="Arial" w:hAnsi="Arial"/>
          <w:kern w:val="0"/>
          <w:sz w:val="20"/>
          <w:szCs w:val="20"/>
          <w:lang w:bidi="ar-SA"/>
        </w:rPr>
      </w:pPr>
    </w:p>
    <w:p w:rsidR="009C18AE" w:rsidRPr="00EE643B" w:rsidRDefault="009C18AE" w:rsidP="00EE643B">
      <w:pPr>
        <w:widowControl/>
        <w:autoSpaceDE w:val="0"/>
        <w:adjustRightInd w:val="0"/>
        <w:jc w:val="both"/>
        <w:textAlignment w:val="auto"/>
        <w:rPr>
          <w:rFonts w:ascii="Arial" w:hAnsi="Arial"/>
          <w:kern w:val="0"/>
          <w:sz w:val="20"/>
          <w:szCs w:val="20"/>
          <w:lang w:bidi="ar-SA"/>
        </w:rPr>
      </w:pPr>
    </w:p>
    <w:p w:rsidR="009C18AE" w:rsidRPr="00EE643B" w:rsidRDefault="009C18AE" w:rsidP="00EE643B">
      <w:pPr>
        <w:widowControl/>
        <w:autoSpaceDE w:val="0"/>
        <w:adjustRightInd w:val="0"/>
        <w:jc w:val="both"/>
        <w:textAlignment w:val="auto"/>
        <w:rPr>
          <w:rFonts w:ascii="Arial" w:hAnsi="Arial"/>
          <w:kern w:val="0"/>
          <w:sz w:val="20"/>
          <w:szCs w:val="20"/>
          <w:lang w:bidi="ar-SA"/>
        </w:rPr>
      </w:pPr>
    </w:p>
    <w:p w:rsidR="009C18AE" w:rsidRPr="00EE643B" w:rsidRDefault="009C18AE" w:rsidP="00EE643B">
      <w:pPr>
        <w:widowControl/>
        <w:autoSpaceDE w:val="0"/>
        <w:adjustRightInd w:val="0"/>
        <w:jc w:val="both"/>
        <w:textAlignment w:val="auto"/>
        <w:rPr>
          <w:rFonts w:ascii="Arial" w:hAnsi="Arial"/>
          <w:kern w:val="0"/>
          <w:sz w:val="20"/>
          <w:szCs w:val="20"/>
          <w:lang w:bidi="ar-SA"/>
        </w:rPr>
      </w:pPr>
    </w:p>
    <w:p w:rsidR="009C18AE" w:rsidRPr="00EE643B" w:rsidRDefault="009C18AE" w:rsidP="00EE643B">
      <w:pPr>
        <w:widowControl/>
        <w:autoSpaceDE w:val="0"/>
        <w:adjustRightInd w:val="0"/>
        <w:jc w:val="both"/>
        <w:textAlignment w:val="auto"/>
        <w:rPr>
          <w:rFonts w:ascii="Arial" w:hAnsi="Arial"/>
          <w:kern w:val="0"/>
          <w:sz w:val="20"/>
          <w:szCs w:val="20"/>
          <w:lang w:bidi="ar-SA"/>
        </w:rPr>
      </w:pPr>
    </w:p>
    <w:p w:rsidR="007736A2" w:rsidRPr="00EE643B" w:rsidRDefault="007736A2" w:rsidP="00EE643B">
      <w:pPr>
        <w:jc w:val="both"/>
        <w:rPr>
          <w:rFonts w:ascii="Arial" w:hAnsi="Arial"/>
          <w:kern w:val="0"/>
          <w:sz w:val="20"/>
          <w:szCs w:val="20"/>
          <w:lang w:bidi="ar-SA"/>
        </w:rPr>
      </w:pPr>
    </w:p>
    <w:p w:rsidR="009C18AE" w:rsidRPr="00EE643B" w:rsidRDefault="009C18AE" w:rsidP="00EE643B">
      <w:pPr>
        <w:jc w:val="both"/>
        <w:rPr>
          <w:rFonts w:ascii="Arial" w:hAnsi="Arial"/>
          <w:kern w:val="0"/>
          <w:sz w:val="20"/>
          <w:szCs w:val="20"/>
          <w:lang w:bidi="ar-SA"/>
        </w:rPr>
      </w:pPr>
    </w:p>
    <w:p w:rsidR="00CA0353" w:rsidRDefault="00CA0353" w:rsidP="00EE643B">
      <w:pPr>
        <w:jc w:val="both"/>
        <w:rPr>
          <w:rFonts w:ascii="Arial" w:hAnsi="Arial"/>
          <w:kern w:val="0"/>
          <w:sz w:val="20"/>
          <w:szCs w:val="20"/>
          <w:lang w:bidi="ar-SA"/>
        </w:rPr>
      </w:pPr>
    </w:p>
    <w:p w:rsidR="00287711" w:rsidRDefault="00287711" w:rsidP="00EE643B">
      <w:pPr>
        <w:jc w:val="both"/>
        <w:rPr>
          <w:rFonts w:ascii="Arial" w:hAnsi="Arial"/>
          <w:kern w:val="0"/>
          <w:sz w:val="20"/>
          <w:szCs w:val="20"/>
          <w:lang w:bidi="ar-SA"/>
        </w:rPr>
      </w:pPr>
    </w:p>
    <w:p w:rsidR="00287711" w:rsidRDefault="00287711" w:rsidP="00EE643B">
      <w:pPr>
        <w:jc w:val="both"/>
        <w:rPr>
          <w:rFonts w:ascii="Arial" w:hAnsi="Arial"/>
          <w:kern w:val="0"/>
          <w:sz w:val="20"/>
          <w:szCs w:val="20"/>
          <w:lang w:bidi="ar-SA"/>
        </w:rPr>
      </w:pPr>
    </w:p>
    <w:p w:rsidR="00287711" w:rsidRDefault="00287711" w:rsidP="00EE643B">
      <w:pPr>
        <w:jc w:val="both"/>
        <w:rPr>
          <w:rFonts w:ascii="Arial" w:hAnsi="Arial"/>
          <w:kern w:val="0"/>
          <w:sz w:val="20"/>
          <w:szCs w:val="20"/>
          <w:lang w:bidi="ar-SA"/>
        </w:rPr>
      </w:pPr>
    </w:p>
    <w:p w:rsidR="00287711" w:rsidRDefault="00287711" w:rsidP="00EE643B">
      <w:pPr>
        <w:jc w:val="both"/>
        <w:rPr>
          <w:rFonts w:ascii="Arial" w:hAnsi="Arial"/>
          <w:kern w:val="0"/>
          <w:sz w:val="20"/>
          <w:szCs w:val="20"/>
          <w:lang w:bidi="ar-SA"/>
        </w:rPr>
      </w:pPr>
    </w:p>
    <w:p w:rsidR="00287711" w:rsidRDefault="00287711" w:rsidP="00EE643B">
      <w:pPr>
        <w:jc w:val="both"/>
        <w:rPr>
          <w:rFonts w:ascii="Arial" w:hAnsi="Arial"/>
          <w:kern w:val="0"/>
          <w:sz w:val="20"/>
          <w:szCs w:val="20"/>
          <w:lang w:bidi="ar-SA"/>
        </w:rPr>
      </w:pPr>
    </w:p>
    <w:p w:rsidR="00504993" w:rsidRDefault="00504993" w:rsidP="00EE643B">
      <w:pPr>
        <w:jc w:val="both"/>
        <w:rPr>
          <w:rFonts w:ascii="Arial" w:hAnsi="Arial"/>
          <w:kern w:val="0"/>
          <w:sz w:val="20"/>
          <w:szCs w:val="20"/>
          <w:lang w:bidi="ar-SA"/>
        </w:rPr>
      </w:pPr>
    </w:p>
    <w:p w:rsidR="00504993" w:rsidRPr="00EE643B" w:rsidRDefault="00504993" w:rsidP="00EE643B">
      <w:pPr>
        <w:jc w:val="both"/>
        <w:rPr>
          <w:rFonts w:ascii="Arial" w:hAnsi="Arial"/>
          <w:kern w:val="0"/>
          <w:sz w:val="20"/>
          <w:szCs w:val="20"/>
          <w:lang w:bidi="ar-SA"/>
        </w:rPr>
      </w:pPr>
    </w:p>
    <w:p w:rsidR="00D67911" w:rsidRPr="00EE643B" w:rsidRDefault="00907600" w:rsidP="00EE643B">
      <w:pPr>
        <w:widowControl/>
        <w:autoSpaceDE w:val="0"/>
        <w:adjustRightInd w:val="0"/>
        <w:jc w:val="both"/>
        <w:textAlignment w:val="auto"/>
        <w:rPr>
          <w:rFonts w:ascii="Arial" w:hAnsi="Arial"/>
          <w:kern w:val="0"/>
          <w:sz w:val="20"/>
          <w:szCs w:val="20"/>
          <w:lang w:bidi="ar-SA"/>
        </w:rPr>
      </w:pPr>
      <w:r w:rsidRPr="00EE643B">
        <w:rPr>
          <w:rFonts w:ascii="Arial" w:hAnsi="Arial"/>
          <w:kern w:val="0"/>
          <w:sz w:val="20"/>
          <w:szCs w:val="20"/>
          <w:lang w:bidi="ar-SA"/>
        </w:rPr>
        <w:t>IV.2 Ancienneté de fonctions dans le département au-delà de trois ans</w:t>
      </w:r>
      <w:r w:rsidR="00D67911" w:rsidRPr="00EE643B">
        <w:rPr>
          <w:rFonts w:ascii="Arial" w:hAnsi="Arial"/>
          <w:kern w:val="0"/>
          <w:sz w:val="20"/>
          <w:szCs w:val="20"/>
          <w:lang w:bidi="ar-SA"/>
        </w:rPr>
        <w:t>.</w:t>
      </w:r>
    </w:p>
    <w:p w:rsidR="009C18AE" w:rsidRPr="00EE643B" w:rsidRDefault="00EE643B" w:rsidP="00EE643B">
      <w:pPr>
        <w:widowControl/>
        <w:autoSpaceDE w:val="0"/>
        <w:adjustRightInd w:val="0"/>
        <w:jc w:val="both"/>
        <w:textAlignment w:val="auto"/>
        <w:rPr>
          <w:rFonts w:ascii="Arial" w:hAnsi="Arial"/>
          <w:sz w:val="20"/>
          <w:szCs w:val="20"/>
        </w:rPr>
      </w:pPr>
      <w:r w:rsidRPr="00EE643B">
        <w:rPr>
          <w:rFonts w:ascii="Arial" w:hAnsi="Arial"/>
          <w:sz w:val="20"/>
          <w:szCs w:val="20"/>
        </w:rPr>
        <w:t>Après un décompte des trois années d'exercice en tant qu'enseignant titulaire du 1er degré dans le département actuel, l'ancienneté de fonctions est appréciée au 31 août 2020. Deux douzièmes de points sont attribués pour chaque mois entier d'ancienneté de fonctions auxquels s'ajoutent dix points par tranche de cinq ans d'ancienneté dans le département.</w:t>
      </w:r>
    </w:p>
    <w:p w:rsidR="00EE643B" w:rsidRPr="00EE643B" w:rsidRDefault="00EE643B" w:rsidP="00EE643B">
      <w:pPr>
        <w:widowControl/>
        <w:autoSpaceDE w:val="0"/>
        <w:adjustRightInd w:val="0"/>
        <w:jc w:val="both"/>
        <w:textAlignment w:val="auto"/>
        <w:rPr>
          <w:rFonts w:ascii="Arial" w:hAnsi="Arial"/>
          <w:kern w:val="0"/>
          <w:sz w:val="20"/>
          <w:szCs w:val="20"/>
          <w:lang w:bidi="ar-SA"/>
        </w:rPr>
      </w:pPr>
    </w:p>
    <w:p w:rsidR="00D67911" w:rsidRPr="00EE643B" w:rsidRDefault="00D67911" w:rsidP="00EE643B">
      <w:pPr>
        <w:pStyle w:val="Default"/>
        <w:suppressAutoHyphens/>
        <w:jc w:val="both"/>
        <w:rPr>
          <w:sz w:val="20"/>
          <w:szCs w:val="20"/>
        </w:rPr>
      </w:pPr>
      <w:r w:rsidRPr="00EE643B">
        <w:rPr>
          <w:sz w:val="20"/>
          <w:szCs w:val="20"/>
        </w:rPr>
        <w:t xml:space="preserve">1 an </w:t>
      </w:r>
      <w:r w:rsidRPr="00EE643B">
        <w:rPr>
          <w:sz w:val="20"/>
          <w:szCs w:val="20"/>
        </w:rPr>
        <w:sym w:font="Wingdings" w:char="F0E0"/>
      </w:r>
      <w:r w:rsidRPr="00EE643B">
        <w:rPr>
          <w:sz w:val="20"/>
          <w:szCs w:val="20"/>
        </w:rPr>
        <w:t xml:space="preserve"> 2 points </w:t>
      </w:r>
    </w:p>
    <w:p w:rsidR="00D67911" w:rsidRPr="00EE643B" w:rsidRDefault="00D67911" w:rsidP="00EE643B">
      <w:pPr>
        <w:pStyle w:val="Default"/>
        <w:suppressAutoHyphens/>
        <w:jc w:val="both"/>
        <w:rPr>
          <w:sz w:val="20"/>
          <w:szCs w:val="20"/>
        </w:rPr>
      </w:pPr>
      <w:r w:rsidRPr="00EE643B">
        <w:rPr>
          <w:sz w:val="20"/>
          <w:szCs w:val="20"/>
        </w:rPr>
        <w:t xml:space="preserve">11 mois </w:t>
      </w:r>
      <w:r w:rsidRPr="00EE643B">
        <w:rPr>
          <w:sz w:val="20"/>
          <w:szCs w:val="20"/>
        </w:rPr>
        <w:sym w:font="Wingdings" w:char="F0E0"/>
      </w:r>
      <w:r w:rsidRPr="00EE643B">
        <w:rPr>
          <w:sz w:val="20"/>
          <w:szCs w:val="20"/>
        </w:rPr>
        <w:t xml:space="preserve"> 1.83 point </w:t>
      </w:r>
    </w:p>
    <w:p w:rsidR="00D67911" w:rsidRPr="00EE643B" w:rsidRDefault="00D67911" w:rsidP="00EE643B">
      <w:pPr>
        <w:pStyle w:val="Default"/>
        <w:suppressAutoHyphens/>
        <w:jc w:val="both"/>
        <w:rPr>
          <w:sz w:val="20"/>
          <w:szCs w:val="20"/>
        </w:rPr>
      </w:pPr>
      <w:r w:rsidRPr="00EE643B">
        <w:rPr>
          <w:sz w:val="20"/>
          <w:szCs w:val="20"/>
        </w:rPr>
        <w:t xml:space="preserve">10 mois </w:t>
      </w:r>
      <w:r w:rsidRPr="00EE643B">
        <w:rPr>
          <w:sz w:val="20"/>
          <w:szCs w:val="20"/>
        </w:rPr>
        <w:sym w:font="Wingdings" w:char="F0E0"/>
      </w:r>
      <w:r w:rsidRPr="00EE643B">
        <w:rPr>
          <w:sz w:val="20"/>
          <w:szCs w:val="20"/>
        </w:rPr>
        <w:t xml:space="preserve"> 1.66 point </w:t>
      </w:r>
    </w:p>
    <w:p w:rsidR="00D67911" w:rsidRPr="00EE643B" w:rsidRDefault="00D67911" w:rsidP="00EE643B">
      <w:pPr>
        <w:pStyle w:val="Default"/>
        <w:suppressAutoHyphens/>
        <w:jc w:val="both"/>
        <w:rPr>
          <w:sz w:val="20"/>
          <w:szCs w:val="20"/>
        </w:rPr>
      </w:pPr>
      <w:r w:rsidRPr="00EE643B">
        <w:rPr>
          <w:sz w:val="20"/>
          <w:szCs w:val="20"/>
        </w:rPr>
        <w:t xml:space="preserve">9 mois </w:t>
      </w:r>
      <w:r w:rsidRPr="00EE643B">
        <w:rPr>
          <w:sz w:val="20"/>
          <w:szCs w:val="20"/>
        </w:rPr>
        <w:sym w:font="Wingdings" w:char="F0E0"/>
      </w:r>
      <w:r w:rsidRPr="00EE643B">
        <w:rPr>
          <w:sz w:val="20"/>
          <w:szCs w:val="20"/>
        </w:rPr>
        <w:t xml:space="preserve"> 1.5 point </w:t>
      </w:r>
    </w:p>
    <w:p w:rsidR="00D67911" w:rsidRPr="00EE643B" w:rsidRDefault="00D67911" w:rsidP="00EE643B">
      <w:pPr>
        <w:pStyle w:val="Default"/>
        <w:suppressAutoHyphens/>
        <w:jc w:val="both"/>
        <w:rPr>
          <w:sz w:val="20"/>
          <w:szCs w:val="20"/>
        </w:rPr>
      </w:pPr>
      <w:r w:rsidRPr="00EE643B">
        <w:rPr>
          <w:sz w:val="20"/>
          <w:szCs w:val="20"/>
        </w:rPr>
        <w:t xml:space="preserve">8 mois </w:t>
      </w:r>
      <w:r w:rsidRPr="00EE643B">
        <w:rPr>
          <w:sz w:val="20"/>
          <w:szCs w:val="20"/>
        </w:rPr>
        <w:sym w:font="Wingdings" w:char="F0E0"/>
      </w:r>
      <w:r w:rsidRPr="00EE643B">
        <w:rPr>
          <w:sz w:val="20"/>
          <w:szCs w:val="20"/>
        </w:rPr>
        <w:t xml:space="preserve"> 1.33 point </w:t>
      </w:r>
    </w:p>
    <w:p w:rsidR="00D67911" w:rsidRPr="00EE643B" w:rsidRDefault="00D67911" w:rsidP="00EE643B">
      <w:pPr>
        <w:pStyle w:val="Default"/>
        <w:suppressAutoHyphens/>
        <w:jc w:val="both"/>
        <w:rPr>
          <w:sz w:val="20"/>
          <w:szCs w:val="20"/>
        </w:rPr>
      </w:pPr>
      <w:r w:rsidRPr="00EE643B">
        <w:rPr>
          <w:sz w:val="20"/>
          <w:szCs w:val="20"/>
        </w:rPr>
        <w:t xml:space="preserve">7 mois </w:t>
      </w:r>
      <w:r w:rsidRPr="00EE643B">
        <w:rPr>
          <w:sz w:val="20"/>
          <w:szCs w:val="20"/>
        </w:rPr>
        <w:sym w:font="Wingdings" w:char="F0E0"/>
      </w:r>
      <w:r w:rsidRPr="00EE643B">
        <w:rPr>
          <w:sz w:val="20"/>
          <w:szCs w:val="20"/>
        </w:rPr>
        <w:t xml:space="preserve"> 1.16 point </w:t>
      </w:r>
    </w:p>
    <w:p w:rsidR="00D67911" w:rsidRPr="00EE643B" w:rsidRDefault="00D67911" w:rsidP="00EE643B">
      <w:pPr>
        <w:pStyle w:val="Default"/>
        <w:suppressAutoHyphens/>
        <w:jc w:val="both"/>
        <w:rPr>
          <w:sz w:val="20"/>
          <w:szCs w:val="20"/>
        </w:rPr>
      </w:pPr>
      <w:r w:rsidRPr="00EE643B">
        <w:rPr>
          <w:sz w:val="20"/>
          <w:szCs w:val="20"/>
        </w:rPr>
        <w:t xml:space="preserve">6 mois </w:t>
      </w:r>
      <w:r w:rsidRPr="00EE643B">
        <w:rPr>
          <w:sz w:val="20"/>
          <w:szCs w:val="20"/>
        </w:rPr>
        <w:sym w:font="Wingdings" w:char="F0E0"/>
      </w:r>
      <w:r w:rsidRPr="00EE643B">
        <w:rPr>
          <w:sz w:val="20"/>
          <w:szCs w:val="20"/>
        </w:rPr>
        <w:t xml:space="preserve"> 1 point </w:t>
      </w:r>
    </w:p>
    <w:p w:rsidR="00D67911" w:rsidRPr="00EE643B" w:rsidRDefault="00D67911" w:rsidP="00EE643B">
      <w:pPr>
        <w:pStyle w:val="Default"/>
        <w:suppressAutoHyphens/>
        <w:jc w:val="both"/>
        <w:rPr>
          <w:sz w:val="20"/>
          <w:szCs w:val="20"/>
        </w:rPr>
      </w:pPr>
      <w:r w:rsidRPr="00EE643B">
        <w:rPr>
          <w:sz w:val="20"/>
          <w:szCs w:val="20"/>
        </w:rPr>
        <w:t xml:space="preserve">5 mois </w:t>
      </w:r>
      <w:r w:rsidRPr="00EE643B">
        <w:rPr>
          <w:sz w:val="20"/>
          <w:szCs w:val="20"/>
        </w:rPr>
        <w:sym w:font="Wingdings" w:char="F0E0"/>
      </w:r>
      <w:r w:rsidRPr="00EE643B">
        <w:rPr>
          <w:sz w:val="20"/>
          <w:szCs w:val="20"/>
        </w:rPr>
        <w:t xml:space="preserve"> 0.83 point </w:t>
      </w:r>
    </w:p>
    <w:p w:rsidR="00D67911" w:rsidRPr="00EE643B" w:rsidRDefault="00D67911" w:rsidP="00EE643B">
      <w:pPr>
        <w:pStyle w:val="Default"/>
        <w:suppressAutoHyphens/>
        <w:jc w:val="both"/>
        <w:rPr>
          <w:sz w:val="20"/>
          <w:szCs w:val="20"/>
        </w:rPr>
      </w:pPr>
      <w:r w:rsidRPr="00EE643B">
        <w:rPr>
          <w:sz w:val="20"/>
          <w:szCs w:val="20"/>
        </w:rPr>
        <w:t xml:space="preserve">4 mois </w:t>
      </w:r>
      <w:r w:rsidRPr="00EE643B">
        <w:rPr>
          <w:sz w:val="20"/>
          <w:szCs w:val="20"/>
        </w:rPr>
        <w:sym w:font="Wingdings" w:char="F0E0"/>
      </w:r>
      <w:r w:rsidRPr="00EE643B">
        <w:rPr>
          <w:sz w:val="20"/>
          <w:szCs w:val="20"/>
        </w:rPr>
        <w:t xml:space="preserve"> 0.66 point </w:t>
      </w:r>
    </w:p>
    <w:p w:rsidR="00D67911" w:rsidRPr="00EE643B" w:rsidRDefault="00D67911" w:rsidP="00EE643B">
      <w:pPr>
        <w:pStyle w:val="Default"/>
        <w:suppressAutoHyphens/>
        <w:jc w:val="both"/>
        <w:rPr>
          <w:sz w:val="20"/>
          <w:szCs w:val="20"/>
        </w:rPr>
      </w:pPr>
      <w:r w:rsidRPr="00EE643B">
        <w:rPr>
          <w:sz w:val="20"/>
          <w:szCs w:val="20"/>
        </w:rPr>
        <w:t xml:space="preserve">3 mois </w:t>
      </w:r>
      <w:r w:rsidRPr="00EE643B">
        <w:rPr>
          <w:sz w:val="20"/>
          <w:szCs w:val="20"/>
        </w:rPr>
        <w:sym w:font="Wingdings" w:char="F0E0"/>
      </w:r>
      <w:r w:rsidRPr="00EE643B">
        <w:rPr>
          <w:sz w:val="20"/>
          <w:szCs w:val="20"/>
        </w:rPr>
        <w:t xml:space="preserve"> 0.5 point </w:t>
      </w:r>
    </w:p>
    <w:p w:rsidR="00D67911" w:rsidRPr="00EE643B" w:rsidRDefault="00D67911" w:rsidP="00EE643B">
      <w:pPr>
        <w:pStyle w:val="Default"/>
        <w:suppressAutoHyphens/>
        <w:jc w:val="both"/>
        <w:rPr>
          <w:sz w:val="20"/>
          <w:szCs w:val="20"/>
        </w:rPr>
      </w:pPr>
      <w:r w:rsidRPr="00EE643B">
        <w:rPr>
          <w:sz w:val="20"/>
          <w:szCs w:val="20"/>
        </w:rPr>
        <w:t xml:space="preserve">2 mois </w:t>
      </w:r>
      <w:r w:rsidRPr="00EE643B">
        <w:rPr>
          <w:sz w:val="20"/>
          <w:szCs w:val="20"/>
        </w:rPr>
        <w:sym w:font="Wingdings" w:char="F0E0"/>
      </w:r>
      <w:r w:rsidRPr="00EE643B">
        <w:rPr>
          <w:sz w:val="20"/>
          <w:szCs w:val="20"/>
        </w:rPr>
        <w:t xml:space="preserve"> 0.33 point </w:t>
      </w:r>
    </w:p>
    <w:p w:rsidR="00D67911" w:rsidRPr="00EE643B" w:rsidRDefault="00D67911" w:rsidP="00EE643B">
      <w:pPr>
        <w:pStyle w:val="Default"/>
        <w:suppressAutoHyphens/>
        <w:jc w:val="both"/>
        <w:rPr>
          <w:sz w:val="20"/>
          <w:szCs w:val="20"/>
        </w:rPr>
      </w:pPr>
      <w:r w:rsidRPr="00EE643B">
        <w:rPr>
          <w:sz w:val="20"/>
          <w:szCs w:val="20"/>
        </w:rPr>
        <w:t xml:space="preserve">1 mois </w:t>
      </w:r>
      <w:r w:rsidRPr="00EE643B">
        <w:rPr>
          <w:sz w:val="20"/>
          <w:szCs w:val="20"/>
        </w:rPr>
        <w:sym w:font="Wingdings" w:char="F0E0"/>
      </w:r>
      <w:r w:rsidRPr="00EE643B">
        <w:rPr>
          <w:sz w:val="20"/>
          <w:szCs w:val="20"/>
        </w:rPr>
        <w:t xml:space="preserve"> 0.16 point </w:t>
      </w:r>
    </w:p>
    <w:p w:rsidR="009C18AE" w:rsidRPr="00EE643B" w:rsidRDefault="009C18AE" w:rsidP="00EE643B">
      <w:pPr>
        <w:widowControl/>
        <w:autoSpaceDE w:val="0"/>
        <w:adjustRightInd w:val="0"/>
        <w:jc w:val="both"/>
        <w:textAlignment w:val="auto"/>
        <w:rPr>
          <w:rFonts w:ascii="Arial" w:hAnsi="Arial"/>
          <w:kern w:val="0"/>
          <w:sz w:val="20"/>
          <w:szCs w:val="20"/>
          <w:lang w:bidi="ar-SA"/>
        </w:rPr>
      </w:pPr>
    </w:p>
    <w:p w:rsidR="00EE643B" w:rsidRPr="00EE643B" w:rsidRDefault="00EE643B" w:rsidP="00EE643B">
      <w:pPr>
        <w:widowControl/>
        <w:autoSpaceDN/>
        <w:jc w:val="both"/>
        <w:textAlignment w:val="auto"/>
        <w:rPr>
          <w:rFonts w:ascii="Arial" w:eastAsia="Times New Roman" w:hAnsi="Arial"/>
          <w:kern w:val="0"/>
          <w:sz w:val="20"/>
          <w:szCs w:val="20"/>
          <w:lang w:eastAsia="fr-FR" w:bidi="ar-SA"/>
        </w:rPr>
      </w:pPr>
      <w:r w:rsidRPr="00EE643B">
        <w:rPr>
          <w:rFonts w:ascii="Arial" w:eastAsia="Times New Roman" w:hAnsi="Arial"/>
          <w:b/>
          <w:bCs/>
          <w:kern w:val="0"/>
          <w:sz w:val="20"/>
          <w:szCs w:val="20"/>
          <w:lang w:eastAsia="fr-FR" w:bidi="ar-SA"/>
        </w:rPr>
        <w:t>Sont prises en compte les périodes suivantes :</w:t>
      </w:r>
    </w:p>
    <w:p w:rsidR="00EE643B" w:rsidRPr="00EE643B" w:rsidRDefault="00EE643B" w:rsidP="00EE643B">
      <w:pPr>
        <w:widowControl/>
        <w:autoSpaceDN/>
        <w:jc w:val="both"/>
        <w:textAlignment w:val="auto"/>
        <w:rPr>
          <w:rFonts w:ascii="Arial" w:eastAsia="Times New Roman" w:hAnsi="Arial"/>
          <w:kern w:val="0"/>
          <w:sz w:val="20"/>
          <w:szCs w:val="20"/>
          <w:lang w:eastAsia="fr-FR" w:bidi="ar-SA"/>
        </w:rPr>
      </w:pPr>
      <w:r w:rsidRPr="00EE643B">
        <w:rPr>
          <w:rFonts w:ascii="Arial" w:eastAsia="Times New Roman" w:hAnsi="Arial"/>
          <w:kern w:val="0"/>
          <w:sz w:val="20"/>
          <w:szCs w:val="20"/>
          <w:lang w:eastAsia="fr-FR" w:bidi="ar-SA"/>
        </w:rPr>
        <w:t>- activité dans le département actuel de rattachement administratif ;</w:t>
      </w:r>
    </w:p>
    <w:p w:rsidR="00EE643B" w:rsidRPr="00EE643B" w:rsidRDefault="00EE643B" w:rsidP="00EE643B">
      <w:pPr>
        <w:widowControl/>
        <w:autoSpaceDN/>
        <w:jc w:val="both"/>
        <w:textAlignment w:val="auto"/>
        <w:rPr>
          <w:rFonts w:ascii="Arial" w:eastAsia="Times New Roman" w:hAnsi="Arial"/>
          <w:kern w:val="0"/>
          <w:sz w:val="20"/>
          <w:szCs w:val="20"/>
          <w:lang w:eastAsia="fr-FR" w:bidi="ar-SA"/>
        </w:rPr>
      </w:pPr>
      <w:r w:rsidRPr="00EE643B">
        <w:rPr>
          <w:rFonts w:ascii="Arial" w:eastAsia="Times New Roman" w:hAnsi="Arial"/>
          <w:kern w:val="0"/>
          <w:sz w:val="20"/>
          <w:szCs w:val="20"/>
          <w:lang w:eastAsia="fr-FR" w:bidi="ar-SA"/>
        </w:rPr>
        <w:t>- mise à disposition auprès d'une association complémentaire de l'école ;</w:t>
      </w:r>
    </w:p>
    <w:p w:rsidR="00EE643B" w:rsidRPr="00EE643B" w:rsidRDefault="00EE643B" w:rsidP="00EE643B">
      <w:pPr>
        <w:widowControl/>
        <w:autoSpaceDN/>
        <w:jc w:val="both"/>
        <w:textAlignment w:val="auto"/>
        <w:rPr>
          <w:rFonts w:ascii="Arial" w:eastAsia="Times New Roman" w:hAnsi="Arial"/>
          <w:kern w:val="0"/>
          <w:sz w:val="20"/>
          <w:szCs w:val="20"/>
          <w:lang w:eastAsia="fr-FR" w:bidi="ar-SA"/>
        </w:rPr>
      </w:pPr>
      <w:r w:rsidRPr="00EE643B">
        <w:rPr>
          <w:rFonts w:ascii="Arial" w:eastAsia="Times New Roman" w:hAnsi="Arial"/>
          <w:kern w:val="0"/>
          <w:sz w:val="20"/>
          <w:szCs w:val="20"/>
          <w:lang w:eastAsia="fr-FR" w:bidi="ar-SA"/>
        </w:rPr>
        <w:t>- service national actif ;</w:t>
      </w:r>
    </w:p>
    <w:p w:rsidR="00EE643B" w:rsidRPr="00EE643B" w:rsidRDefault="00EE643B" w:rsidP="00EE643B">
      <w:pPr>
        <w:widowControl/>
        <w:autoSpaceDN/>
        <w:jc w:val="both"/>
        <w:textAlignment w:val="auto"/>
        <w:rPr>
          <w:rFonts w:ascii="Arial" w:eastAsia="Times New Roman" w:hAnsi="Arial"/>
          <w:kern w:val="0"/>
          <w:sz w:val="20"/>
          <w:szCs w:val="20"/>
          <w:lang w:eastAsia="fr-FR" w:bidi="ar-SA"/>
        </w:rPr>
      </w:pPr>
      <w:r w:rsidRPr="00EE643B">
        <w:rPr>
          <w:rFonts w:ascii="Arial" w:eastAsia="Times New Roman" w:hAnsi="Arial"/>
          <w:kern w:val="0"/>
          <w:sz w:val="20"/>
          <w:szCs w:val="20"/>
          <w:lang w:eastAsia="fr-FR" w:bidi="ar-SA"/>
        </w:rPr>
        <w:t>- congé de longue maladie ;</w:t>
      </w:r>
    </w:p>
    <w:p w:rsidR="00EE643B" w:rsidRPr="00EE643B" w:rsidRDefault="00EE643B" w:rsidP="00EE643B">
      <w:pPr>
        <w:widowControl/>
        <w:autoSpaceDN/>
        <w:jc w:val="both"/>
        <w:textAlignment w:val="auto"/>
        <w:rPr>
          <w:rFonts w:ascii="Arial" w:eastAsia="Times New Roman" w:hAnsi="Arial"/>
          <w:kern w:val="0"/>
          <w:sz w:val="20"/>
          <w:szCs w:val="20"/>
          <w:lang w:eastAsia="fr-FR" w:bidi="ar-SA"/>
        </w:rPr>
      </w:pPr>
      <w:r w:rsidRPr="00EE643B">
        <w:rPr>
          <w:rFonts w:ascii="Arial" w:eastAsia="Times New Roman" w:hAnsi="Arial"/>
          <w:kern w:val="0"/>
          <w:sz w:val="20"/>
          <w:szCs w:val="20"/>
          <w:lang w:eastAsia="fr-FR" w:bidi="ar-SA"/>
        </w:rPr>
        <w:t>- congé de longue durée ;</w:t>
      </w:r>
    </w:p>
    <w:p w:rsidR="00EE643B" w:rsidRPr="00EE643B" w:rsidRDefault="00EE643B" w:rsidP="00EE643B">
      <w:pPr>
        <w:widowControl/>
        <w:autoSpaceDN/>
        <w:jc w:val="both"/>
        <w:textAlignment w:val="auto"/>
        <w:rPr>
          <w:rFonts w:ascii="Arial" w:eastAsia="Times New Roman" w:hAnsi="Arial"/>
          <w:kern w:val="0"/>
          <w:sz w:val="20"/>
          <w:szCs w:val="20"/>
          <w:lang w:eastAsia="fr-FR" w:bidi="ar-SA"/>
        </w:rPr>
      </w:pPr>
      <w:r w:rsidRPr="00EE643B">
        <w:rPr>
          <w:rFonts w:ascii="Arial" w:eastAsia="Times New Roman" w:hAnsi="Arial"/>
          <w:kern w:val="0"/>
          <w:sz w:val="20"/>
          <w:szCs w:val="20"/>
          <w:lang w:eastAsia="fr-FR" w:bidi="ar-SA"/>
        </w:rPr>
        <w:t>- congé de formation professionnelle ;</w:t>
      </w:r>
    </w:p>
    <w:p w:rsidR="00EE643B" w:rsidRPr="00EE643B" w:rsidRDefault="00EE643B" w:rsidP="00EE643B">
      <w:pPr>
        <w:widowControl/>
        <w:autoSpaceDN/>
        <w:jc w:val="both"/>
        <w:textAlignment w:val="auto"/>
        <w:rPr>
          <w:rFonts w:ascii="Arial" w:eastAsia="Times New Roman" w:hAnsi="Arial"/>
          <w:kern w:val="0"/>
          <w:sz w:val="20"/>
          <w:szCs w:val="20"/>
          <w:lang w:eastAsia="fr-FR" w:bidi="ar-SA"/>
        </w:rPr>
      </w:pPr>
      <w:r w:rsidRPr="00EE643B">
        <w:rPr>
          <w:rFonts w:ascii="Arial" w:eastAsia="Times New Roman" w:hAnsi="Arial"/>
          <w:kern w:val="0"/>
          <w:sz w:val="20"/>
          <w:szCs w:val="20"/>
          <w:lang w:eastAsia="fr-FR" w:bidi="ar-SA"/>
        </w:rPr>
        <w:t>- congé de mobilité ;</w:t>
      </w:r>
    </w:p>
    <w:p w:rsidR="00EE643B" w:rsidRPr="00EE643B" w:rsidRDefault="00EE643B" w:rsidP="00EE643B">
      <w:pPr>
        <w:widowControl/>
        <w:autoSpaceDN/>
        <w:jc w:val="both"/>
        <w:textAlignment w:val="auto"/>
        <w:rPr>
          <w:rFonts w:ascii="Arial" w:eastAsia="Times New Roman" w:hAnsi="Arial"/>
          <w:kern w:val="0"/>
          <w:sz w:val="20"/>
          <w:szCs w:val="20"/>
          <w:lang w:eastAsia="fr-FR" w:bidi="ar-SA"/>
        </w:rPr>
      </w:pPr>
      <w:r w:rsidRPr="00EE643B">
        <w:rPr>
          <w:rFonts w:ascii="Arial" w:eastAsia="Times New Roman" w:hAnsi="Arial"/>
          <w:kern w:val="0"/>
          <w:sz w:val="20"/>
          <w:szCs w:val="20"/>
          <w:lang w:eastAsia="fr-FR" w:bidi="ar-SA"/>
        </w:rPr>
        <w:t>- congé parental.</w:t>
      </w:r>
    </w:p>
    <w:p w:rsidR="00EE643B" w:rsidRPr="00EE643B" w:rsidRDefault="00EE643B" w:rsidP="00EE643B">
      <w:pPr>
        <w:widowControl/>
        <w:autoSpaceDN/>
        <w:jc w:val="both"/>
        <w:textAlignment w:val="auto"/>
        <w:rPr>
          <w:rFonts w:ascii="Arial" w:eastAsia="Times New Roman" w:hAnsi="Arial"/>
          <w:kern w:val="0"/>
          <w:sz w:val="20"/>
          <w:szCs w:val="20"/>
          <w:lang w:eastAsia="fr-FR" w:bidi="ar-SA"/>
        </w:rPr>
      </w:pPr>
      <w:r w:rsidRPr="00EE643B">
        <w:rPr>
          <w:rFonts w:ascii="Arial" w:eastAsia="Times New Roman" w:hAnsi="Arial"/>
          <w:kern w:val="0"/>
          <w:sz w:val="20"/>
          <w:szCs w:val="20"/>
          <w:lang w:eastAsia="fr-FR" w:bidi="ar-SA"/>
        </w:rPr>
        <w:t>Les candidats précédemment détachés, en France ou à l'étranger, qui participent aux opérations du mouvement verront leurs années de détachement prises en compte.</w:t>
      </w:r>
    </w:p>
    <w:p w:rsidR="00EE643B" w:rsidRPr="00EE643B" w:rsidRDefault="00EE643B" w:rsidP="00EE643B">
      <w:pPr>
        <w:widowControl/>
        <w:autoSpaceDN/>
        <w:jc w:val="both"/>
        <w:textAlignment w:val="auto"/>
        <w:rPr>
          <w:rFonts w:ascii="Arial" w:eastAsia="Times New Roman" w:hAnsi="Arial"/>
          <w:kern w:val="0"/>
          <w:sz w:val="20"/>
          <w:szCs w:val="20"/>
          <w:lang w:eastAsia="fr-FR" w:bidi="ar-SA"/>
        </w:rPr>
      </w:pPr>
      <w:r w:rsidRPr="00EE643B">
        <w:rPr>
          <w:rFonts w:ascii="Arial" w:eastAsia="Times New Roman" w:hAnsi="Arial"/>
          <w:kern w:val="0"/>
          <w:sz w:val="20"/>
          <w:szCs w:val="20"/>
          <w:lang w:eastAsia="fr-FR" w:bidi="ar-SA"/>
        </w:rPr>
        <w:t>Les professeurs des écoles de Mayotte verront leur ancienneté d'IERM (instituteur de l'État recruté à Mayotte) prise intégralement en compte.</w:t>
      </w:r>
    </w:p>
    <w:p w:rsidR="00EE643B" w:rsidRPr="00EE643B" w:rsidRDefault="00EE643B" w:rsidP="00EE643B">
      <w:pPr>
        <w:widowControl/>
        <w:autoSpaceDN/>
        <w:jc w:val="both"/>
        <w:textAlignment w:val="auto"/>
        <w:rPr>
          <w:rFonts w:ascii="Arial" w:eastAsia="Times New Roman" w:hAnsi="Arial"/>
          <w:kern w:val="0"/>
          <w:sz w:val="20"/>
          <w:szCs w:val="20"/>
          <w:lang w:eastAsia="fr-FR" w:bidi="ar-SA"/>
        </w:rPr>
      </w:pPr>
      <w:r w:rsidRPr="00EE643B">
        <w:rPr>
          <w:rFonts w:ascii="Arial" w:eastAsia="Times New Roman" w:hAnsi="Arial"/>
          <w:b/>
          <w:bCs/>
          <w:kern w:val="0"/>
          <w:sz w:val="20"/>
          <w:szCs w:val="20"/>
          <w:lang w:eastAsia="fr-FR" w:bidi="ar-SA"/>
        </w:rPr>
        <w:t>En revanche, ne sont pas prises en compte les périodes de :</w:t>
      </w:r>
    </w:p>
    <w:p w:rsidR="00EE643B" w:rsidRPr="00EE643B" w:rsidRDefault="00EE643B" w:rsidP="00EE643B">
      <w:pPr>
        <w:widowControl/>
        <w:autoSpaceDN/>
        <w:jc w:val="both"/>
        <w:textAlignment w:val="auto"/>
        <w:rPr>
          <w:rFonts w:ascii="Arial" w:eastAsia="Times New Roman" w:hAnsi="Arial"/>
          <w:kern w:val="0"/>
          <w:sz w:val="20"/>
          <w:szCs w:val="20"/>
          <w:lang w:eastAsia="fr-FR" w:bidi="ar-SA"/>
        </w:rPr>
      </w:pPr>
      <w:r w:rsidRPr="00EE643B">
        <w:rPr>
          <w:rFonts w:ascii="Arial" w:eastAsia="Times New Roman" w:hAnsi="Arial"/>
          <w:kern w:val="0"/>
          <w:sz w:val="20"/>
          <w:szCs w:val="20"/>
          <w:lang w:eastAsia="fr-FR" w:bidi="ar-SA"/>
        </w:rPr>
        <w:t>- disponibilité, quelle qu'en soit la nature ;</w:t>
      </w:r>
    </w:p>
    <w:p w:rsidR="00EE643B" w:rsidRPr="00EE643B" w:rsidRDefault="00EE643B" w:rsidP="00EE643B">
      <w:pPr>
        <w:widowControl/>
        <w:autoSpaceDN/>
        <w:jc w:val="both"/>
        <w:textAlignment w:val="auto"/>
        <w:rPr>
          <w:rFonts w:ascii="Arial" w:eastAsia="Times New Roman" w:hAnsi="Arial"/>
          <w:kern w:val="0"/>
          <w:sz w:val="20"/>
          <w:szCs w:val="20"/>
          <w:lang w:eastAsia="fr-FR" w:bidi="ar-SA"/>
        </w:rPr>
      </w:pPr>
      <w:r w:rsidRPr="00EE643B">
        <w:rPr>
          <w:rFonts w:ascii="Arial" w:eastAsia="Times New Roman" w:hAnsi="Arial"/>
          <w:kern w:val="0"/>
          <w:sz w:val="20"/>
          <w:szCs w:val="20"/>
          <w:lang w:eastAsia="fr-FR" w:bidi="ar-SA"/>
        </w:rPr>
        <w:t>- congé de non activité pour raison d'études.</w:t>
      </w:r>
    </w:p>
    <w:p w:rsidR="00907600" w:rsidRPr="00EE643B" w:rsidRDefault="00907600" w:rsidP="00EE643B">
      <w:pPr>
        <w:widowControl/>
        <w:autoSpaceDE w:val="0"/>
        <w:adjustRightInd w:val="0"/>
        <w:jc w:val="both"/>
        <w:textAlignment w:val="auto"/>
        <w:rPr>
          <w:rFonts w:ascii="Arial" w:hAnsi="Arial"/>
          <w:kern w:val="0"/>
          <w:sz w:val="20"/>
          <w:szCs w:val="20"/>
          <w:lang w:bidi="ar-SA"/>
        </w:rPr>
      </w:pPr>
      <w:bookmarkStart w:id="0" w:name="_GoBack"/>
      <w:bookmarkEnd w:id="0"/>
      <w:r w:rsidRPr="00EE643B">
        <w:rPr>
          <w:rFonts w:ascii="Arial" w:hAnsi="Arial"/>
          <w:kern w:val="0"/>
          <w:sz w:val="20"/>
          <w:szCs w:val="20"/>
          <w:lang w:bidi="ar-SA"/>
        </w:rPr>
        <w:lastRenderedPageBreak/>
        <w:t>IV.3 Éducation prioritaire</w:t>
      </w:r>
    </w:p>
    <w:p w:rsidR="00EE643B" w:rsidRPr="00EE643B" w:rsidRDefault="00EE643B" w:rsidP="00EE643B">
      <w:pPr>
        <w:widowControl/>
        <w:numPr>
          <w:ilvl w:val="0"/>
          <w:numId w:val="9"/>
        </w:numPr>
        <w:autoSpaceDN/>
        <w:jc w:val="both"/>
        <w:textAlignment w:val="auto"/>
        <w:rPr>
          <w:rFonts w:ascii="Arial" w:eastAsia="Times New Roman" w:hAnsi="Arial"/>
          <w:kern w:val="0"/>
          <w:sz w:val="20"/>
          <w:szCs w:val="20"/>
          <w:lang w:eastAsia="fr-FR" w:bidi="ar-SA"/>
        </w:rPr>
      </w:pPr>
      <w:r w:rsidRPr="00EE643B">
        <w:rPr>
          <w:rFonts w:ascii="Arial" w:eastAsia="Times New Roman" w:hAnsi="Arial"/>
          <w:kern w:val="0"/>
          <w:sz w:val="20"/>
          <w:szCs w:val="20"/>
          <w:lang w:eastAsia="fr-FR" w:bidi="ar-SA"/>
        </w:rPr>
        <w:t>Bonifications accordées aux fonctionnaires qui exercent dans un quartier urbain où se posent des problèmes sociaux et de sécurité particulièrement difficiles (politique de la ville) :</w:t>
      </w:r>
    </w:p>
    <w:p w:rsidR="00EE643B" w:rsidRPr="00EE643B" w:rsidRDefault="00EE643B" w:rsidP="00EE643B">
      <w:pPr>
        <w:widowControl/>
        <w:autoSpaceDN/>
        <w:jc w:val="both"/>
        <w:textAlignment w:val="auto"/>
        <w:rPr>
          <w:rFonts w:ascii="Arial" w:eastAsia="Times New Roman" w:hAnsi="Arial"/>
          <w:kern w:val="0"/>
          <w:sz w:val="20"/>
          <w:szCs w:val="20"/>
          <w:lang w:eastAsia="fr-FR" w:bidi="ar-SA"/>
        </w:rPr>
      </w:pPr>
      <w:r w:rsidRPr="00EE643B">
        <w:rPr>
          <w:rFonts w:ascii="Arial" w:eastAsia="Times New Roman" w:hAnsi="Arial"/>
          <w:kern w:val="0"/>
          <w:sz w:val="20"/>
          <w:szCs w:val="20"/>
          <w:lang w:eastAsia="fr-FR" w:bidi="ar-SA"/>
        </w:rPr>
        <w:t xml:space="preserve">Selon les modalités visées dans la présente note de service, les candidats en activité et affectés au 1er septembre 2019 dans les écoles ou établissements relevant d'un quartier urbain où se posent des problèmes sociaux et de sécurité particulièrement difficiles, et justifiant d'une durée minimale de cinq années de </w:t>
      </w:r>
      <w:r w:rsidRPr="00EE643B">
        <w:rPr>
          <w:rFonts w:ascii="Arial" w:eastAsia="Times New Roman" w:hAnsi="Arial"/>
          <w:b/>
          <w:bCs/>
          <w:kern w:val="0"/>
          <w:sz w:val="20"/>
          <w:szCs w:val="20"/>
          <w:lang w:eastAsia="fr-FR" w:bidi="ar-SA"/>
        </w:rPr>
        <w:t>services effectifs et continus</w:t>
      </w:r>
      <w:r w:rsidRPr="00EE643B">
        <w:rPr>
          <w:rFonts w:ascii="Arial" w:eastAsia="Times New Roman" w:hAnsi="Arial"/>
          <w:kern w:val="0"/>
          <w:sz w:val="20"/>
          <w:szCs w:val="20"/>
          <w:lang w:eastAsia="fr-FR" w:bidi="ar-SA"/>
        </w:rPr>
        <w:t xml:space="preserve"> dans ces écoles ou établissements, bénéficient d'une bonification de 90 points.</w:t>
      </w:r>
    </w:p>
    <w:p w:rsidR="00EE643B" w:rsidRPr="00EE643B" w:rsidRDefault="00EE643B" w:rsidP="00EE643B">
      <w:pPr>
        <w:widowControl/>
        <w:numPr>
          <w:ilvl w:val="0"/>
          <w:numId w:val="10"/>
        </w:numPr>
        <w:autoSpaceDN/>
        <w:jc w:val="both"/>
        <w:textAlignment w:val="auto"/>
        <w:rPr>
          <w:rFonts w:ascii="Arial" w:eastAsia="Times New Roman" w:hAnsi="Arial"/>
          <w:kern w:val="0"/>
          <w:sz w:val="20"/>
          <w:szCs w:val="20"/>
          <w:lang w:eastAsia="fr-FR" w:bidi="ar-SA"/>
        </w:rPr>
      </w:pPr>
      <w:r w:rsidRPr="00EE643B">
        <w:rPr>
          <w:rFonts w:ascii="Arial" w:eastAsia="Times New Roman" w:hAnsi="Arial"/>
          <w:kern w:val="0"/>
          <w:sz w:val="20"/>
          <w:szCs w:val="20"/>
          <w:lang w:eastAsia="fr-FR" w:bidi="ar-SA"/>
        </w:rPr>
        <w:t xml:space="preserve">Bonifications accordées aux personnels enseignants qui exercent dans des écoles et des établissements scolaires relevant des programmes </w:t>
      </w:r>
      <w:proofErr w:type="spellStart"/>
      <w:r w:rsidRPr="00EE643B">
        <w:rPr>
          <w:rFonts w:ascii="Arial" w:eastAsia="Times New Roman" w:hAnsi="Arial"/>
          <w:kern w:val="0"/>
          <w:sz w:val="20"/>
          <w:szCs w:val="20"/>
          <w:lang w:eastAsia="fr-FR" w:bidi="ar-SA"/>
        </w:rPr>
        <w:t>Rep</w:t>
      </w:r>
      <w:proofErr w:type="spellEnd"/>
      <w:r w:rsidRPr="00EE643B">
        <w:rPr>
          <w:rFonts w:ascii="Arial" w:eastAsia="Times New Roman" w:hAnsi="Arial"/>
          <w:kern w:val="0"/>
          <w:sz w:val="20"/>
          <w:szCs w:val="20"/>
          <w:lang w:eastAsia="fr-FR" w:bidi="ar-SA"/>
        </w:rPr>
        <w:t>/</w:t>
      </w:r>
      <w:proofErr w:type="spellStart"/>
      <w:r w:rsidRPr="00EE643B">
        <w:rPr>
          <w:rFonts w:ascii="Arial" w:eastAsia="Times New Roman" w:hAnsi="Arial"/>
          <w:kern w:val="0"/>
          <w:sz w:val="20"/>
          <w:szCs w:val="20"/>
          <w:lang w:eastAsia="fr-FR" w:bidi="ar-SA"/>
        </w:rPr>
        <w:t>Rep</w:t>
      </w:r>
      <w:proofErr w:type="spellEnd"/>
      <w:r w:rsidRPr="00EE643B">
        <w:rPr>
          <w:rFonts w:ascii="Arial" w:eastAsia="Times New Roman" w:hAnsi="Arial"/>
          <w:kern w:val="0"/>
          <w:sz w:val="20"/>
          <w:szCs w:val="20"/>
          <w:lang w:eastAsia="fr-FR" w:bidi="ar-SA"/>
        </w:rPr>
        <w:t>+ :</w:t>
      </w:r>
    </w:p>
    <w:p w:rsidR="00EE643B" w:rsidRPr="00EE643B" w:rsidRDefault="00EE643B" w:rsidP="00EE643B">
      <w:pPr>
        <w:widowControl/>
        <w:autoSpaceDN/>
        <w:jc w:val="both"/>
        <w:textAlignment w:val="auto"/>
        <w:rPr>
          <w:rFonts w:ascii="Arial" w:eastAsia="Times New Roman" w:hAnsi="Arial"/>
          <w:kern w:val="0"/>
          <w:sz w:val="20"/>
          <w:szCs w:val="20"/>
          <w:lang w:eastAsia="fr-FR" w:bidi="ar-SA"/>
        </w:rPr>
      </w:pPr>
      <w:r w:rsidRPr="00EE643B">
        <w:rPr>
          <w:rFonts w:ascii="Arial" w:eastAsia="Times New Roman" w:hAnsi="Arial"/>
          <w:kern w:val="0"/>
          <w:sz w:val="20"/>
          <w:szCs w:val="20"/>
          <w:lang w:eastAsia="fr-FR" w:bidi="ar-SA"/>
        </w:rPr>
        <w:t xml:space="preserve">Selon les modalités visées dans la présente note de service, les candidats en activité et affectés au 1er septembre 2019 dans des écoles ou établissements </w:t>
      </w:r>
      <w:proofErr w:type="spellStart"/>
      <w:r w:rsidRPr="00EE643B">
        <w:rPr>
          <w:rFonts w:ascii="Arial" w:eastAsia="Times New Roman" w:hAnsi="Arial"/>
          <w:kern w:val="0"/>
          <w:sz w:val="20"/>
          <w:szCs w:val="20"/>
          <w:lang w:eastAsia="fr-FR" w:bidi="ar-SA"/>
        </w:rPr>
        <w:t>Rep</w:t>
      </w:r>
      <w:proofErr w:type="spellEnd"/>
      <w:r w:rsidRPr="00EE643B">
        <w:rPr>
          <w:rFonts w:ascii="Arial" w:eastAsia="Times New Roman" w:hAnsi="Arial"/>
          <w:kern w:val="0"/>
          <w:sz w:val="20"/>
          <w:szCs w:val="20"/>
          <w:lang w:eastAsia="fr-FR" w:bidi="ar-SA"/>
        </w:rPr>
        <w:t xml:space="preserve"> ou </w:t>
      </w:r>
      <w:proofErr w:type="spellStart"/>
      <w:r w:rsidRPr="00EE643B">
        <w:rPr>
          <w:rFonts w:ascii="Arial" w:eastAsia="Times New Roman" w:hAnsi="Arial"/>
          <w:kern w:val="0"/>
          <w:sz w:val="20"/>
          <w:szCs w:val="20"/>
          <w:lang w:eastAsia="fr-FR" w:bidi="ar-SA"/>
        </w:rPr>
        <w:t>Rep</w:t>
      </w:r>
      <w:proofErr w:type="spellEnd"/>
      <w:r w:rsidRPr="00EE643B">
        <w:rPr>
          <w:rFonts w:ascii="Arial" w:eastAsia="Times New Roman" w:hAnsi="Arial"/>
          <w:kern w:val="0"/>
          <w:sz w:val="20"/>
          <w:szCs w:val="20"/>
          <w:lang w:eastAsia="fr-FR" w:bidi="ar-SA"/>
        </w:rPr>
        <w:t xml:space="preserve">+, et justifiant d'une durée minimale de cinq ans de services </w:t>
      </w:r>
      <w:r w:rsidRPr="00EE643B">
        <w:rPr>
          <w:rFonts w:ascii="Arial" w:eastAsia="Times New Roman" w:hAnsi="Arial"/>
          <w:b/>
          <w:bCs/>
          <w:kern w:val="0"/>
          <w:sz w:val="20"/>
          <w:szCs w:val="20"/>
          <w:lang w:eastAsia="fr-FR" w:bidi="ar-SA"/>
        </w:rPr>
        <w:t>effectifs et continus</w:t>
      </w:r>
      <w:r w:rsidRPr="00EE643B">
        <w:rPr>
          <w:rFonts w:ascii="Arial" w:eastAsia="Times New Roman" w:hAnsi="Arial"/>
          <w:kern w:val="0"/>
          <w:sz w:val="20"/>
          <w:szCs w:val="20"/>
          <w:lang w:eastAsia="fr-FR" w:bidi="ar-SA"/>
        </w:rPr>
        <w:t xml:space="preserve"> dans ces écoles ou établissements bénéficient d'une bonification de 45 points (pour le </w:t>
      </w:r>
      <w:proofErr w:type="spellStart"/>
      <w:r w:rsidRPr="00EE643B">
        <w:rPr>
          <w:rFonts w:ascii="Arial" w:eastAsia="Times New Roman" w:hAnsi="Arial"/>
          <w:kern w:val="0"/>
          <w:sz w:val="20"/>
          <w:szCs w:val="20"/>
          <w:lang w:eastAsia="fr-FR" w:bidi="ar-SA"/>
        </w:rPr>
        <w:t>Rep</w:t>
      </w:r>
      <w:proofErr w:type="spellEnd"/>
      <w:r w:rsidRPr="00EE643B">
        <w:rPr>
          <w:rFonts w:ascii="Arial" w:eastAsia="Times New Roman" w:hAnsi="Arial"/>
          <w:kern w:val="0"/>
          <w:sz w:val="20"/>
          <w:szCs w:val="20"/>
          <w:lang w:eastAsia="fr-FR" w:bidi="ar-SA"/>
        </w:rPr>
        <w:t xml:space="preserve">) ou 90 points (pour le </w:t>
      </w:r>
      <w:proofErr w:type="spellStart"/>
      <w:r w:rsidRPr="00EE643B">
        <w:rPr>
          <w:rFonts w:ascii="Arial" w:eastAsia="Times New Roman" w:hAnsi="Arial"/>
          <w:kern w:val="0"/>
          <w:sz w:val="20"/>
          <w:szCs w:val="20"/>
          <w:lang w:eastAsia="fr-FR" w:bidi="ar-SA"/>
        </w:rPr>
        <w:t>Rep</w:t>
      </w:r>
      <w:proofErr w:type="spellEnd"/>
      <w:r w:rsidRPr="00EE643B">
        <w:rPr>
          <w:rFonts w:ascii="Arial" w:eastAsia="Times New Roman" w:hAnsi="Arial"/>
          <w:kern w:val="0"/>
          <w:sz w:val="20"/>
          <w:szCs w:val="20"/>
          <w:lang w:eastAsia="fr-FR" w:bidi="ar-SA"/>
        </w:rPr>
        <w:t>+).</w:t>
      </w:r>
    </w:p>
    <w:p w:rsidR="00EE643B" w:rsidRPr="00EE643B" w:rsidRDefault="00EE643B" w:rsidP="00EE643B">
      <w:pPr>
        <w:widowControl/>
        <w:autoSpaceDN/>
        <w:jc w:val="both"/>
        <w:textAlignment w:val="auto"/>
        <w:rPr>
          <w:rFonts w:ascii="Arial" w:eastAsia="Times New Roman" w:hAnsi="Arial"/>
          <w:kern w:val="0"/>
          <w:sz w:val="20"/>
          <w:szCs w:val="20"/>
          <w:lang w:eastAsia="fr-FR" w:bidi="ar-SA"/>
        </w:rPr>
      </w:pPr>
      <w:r w:rsidRPr="00EE643B">
        <w:rPr>
          <w:rFonts w:ascii="Arial" w:eastAsia="Times New Roman" w:hAnsi="Arial"/>
          <w:kern w:val="0"/>
          <w:sz w:val="20"/>
          <w:szCs w:val="20"/>
          <w:lang w:eastAsia="fr-FR" w:bidi="ar-SA"/>
        </w:rPr>
        <w:t xml:space="preserve">En cas de services continus de cinq années, mélangeant des affectations en établissement relevant du réseau </w:t>
      </w:r>
      <w:proofErr w:type="spellStart"/>
      <w:r w:rsidRPr="00EE643B">
        <w:rPr>
          <w:rFonts w:ascii="Arial" w:eastAsia="Times New Roman" w:hAnsi="Arial"/>
          <w:kern w:val="0"/>
          <w:sz w:val="20"/>
          <w:szCs w:val="20"/>
          <w:lang w:eastAsia="fr-FR" w:bidi="ar-SA"/>
        </w:rPr>
        <w:t>Rep</w:t>
      </w:r>
      <w:proofErr w:type="spellEnd"/>
      <w:r w:rsidRPr="00EE643B">
        <w:rPr>
          <w:rFonts w:ascii="Arial" w:eastAsia="Times New Roman" w:hAnsi="Arial"/>
          <w:kern w:val="0"/>
          <w:sz w:val="20"/>
          <w:szCs w:val="20"/>
          <w:lang w:eastAsia="fr-FR" w:bidi="ar-SA"/>
        </w:rPr>
        <w:t xml:space="preserve"> et du réseau </w:t>
      </w:r>
      <w:proofErr w:type="spellStart"/>
      <w:r w:rsidRPr="00EE643B">
        <w:rPr>
          <w:rFonts w:ascii="Arial" w:eastAsia="Times New Roman" w:hAnsi="Arial"/>
          <w:kern w:val="0"/>
          <w:sz w:val="20"/>
          <w:szCs w:val="20"/>
          <w:lang w:eastAsia="fr-FR" w:bidi="ar-SA"/>
        </w:rPr>
        <w:t>Rep</w:t>
      </w:r>
      <w:proofErr w:type="spellEnd"/>
      <w:r w:rsidRPr="00EE643B">
        <w:rPr>
          <w:rFonts w:ascii="Arial" w:eastAsia="Times New Roman" w:hAnsi="Arial"/>
          <w:kern w:val="0"/>
          <w:sz w:val="20"/>
          <w:szCs w:val="20"/>
          <w:lang w:eastAsia="fr-FR" w:bidi="ar-SA"/>
        </w:rPr>
        <w:t>+, la bonification accordée est de 45 points.</w:t>
      </w:r>
    </w:p>
    <w:p w:rsidR="00EE643B" w:rsidRPr="00EE643B" w:rsidRDefault="00EE643B" w:rsidP="00EE643B">
      <w:pPr>
        <w:widowControl/>
        <w:autoSpaceDN/>
        <w:jc w:val="both"/>
        <w:textAlignment w:val="auto"/>
        <w:rPr>
          <w:rFonts w:ascii="Arial" w:eastAsia="Times New Roman" w:hAnsi="Arial"/>
          <w:kern w:val="0"/>
          <w:sz w:val="20"/>
          <w:szCs w:val="20"/>
          <w:lang w:eastAsia="fr-FR" w:bidi="ar-SA"/>
        </w:rPr>
      </w:pPr>
      <w:r w:rsidRPr="00EE643B">
        <w:rPr>
          <w:rFonts w:ascii="Arial" w:eastAsia="Times New Roman" w:hAnsi="Arial"/>
          <w:kern w:val="0"/>
          <w:sz w:val="20"/>
          <w:szCs w:val="20"/>
          <w:lang w:eastAsia="fr-FR" w:bidi="ar-SA"/>
        </w:rPr>
        <w:t xml:space="preserve">Dans le calcul de la bonification, l'ancienneté détenue </w:t>
      </w:r>
      <w:r w:rsidR="00287711">
        <w:rPr>
          <w:rFonts w:ascii="Arial" w:eastAsia="Times New Roman" w:hAnsi="Arial"/>
          <w:kern w:val="0"/>
          <w:sz w:val="20"/>
          <w:szCs w:val="20"/>
          <w:lang w:eastAsia="fr-FR" w:bidi="ar-SA"/>
        </w:rPr>
        <w:t>dans l'école ou l'établissement</w:t>
      </w:r>
      <w:r w:rsidRPr="00EE643B">
        <w:rPr>
          <w:rFonts w:ascii="Arial" w:eastAsia="Times New Roman" w:hAnsi="Arial"/>
          <w:kern w:val="0"/>
          <w:sz w:val="20"/>
          <w:szCs w:val="20"/>
          <w:lang w:eastAsia="fr-FR" w:bidi="ar-SA"/>
        </w:rPr>
        <w:t xml:space="preserve"> est prise intégralement en compte pour les enseignants y exerçant antérieurement au classement </w:t>
      </w:r>
      <w:proofErr w:type="spellStart"/>
      <w:r w:rsidRPr="00EE643B">
        <w:rPr>
          <w:rFonts w:ascii="Arial" w:eastAsia="Times New Roman" w:hAnsi="Arial"/>
          <w:kern w:val="0"/>
          <w:sz w:val="20"/>
          <w:szCs w:val="20"/>
          <w:lang w:eastAsia="fr-FR" w:bidi="ar-SA"/>
        </w:rPr>
        <w:t>Rep</w:t>
      </w:r>
      <w:proofErr w:type="spellEnd"/>
      <w:r w:rsidRPr="00EE643B">
        <w:rPr>
          <w:rFonts w:ascii="Arial" w:eastAsia="Times New Roman" w:hAnsi="Arial"/>
          <w:kern w:val="0"/>
          <w:sz w:val="20"/>
          <w:szCs w:val="20"/>
          <w:lang w:eastAsia="fr-FR" w:bidi="ar-SA"/>
        </w:rPr>
        <w:t xml:space="preserve"> ou </w:t>
      </w:r>
      <w:proofErr w:type="spellStart"/>
      <w:r w:rsidRPr="00EE643B">
        <w:rPr>
          <w:rFonts w:ascii="Arial" w:eastAsia="Times New Roman" w:hAnsi="Arial"/>
          <w:kern w:val="0"/>
          <w:sz w:val="20"/>
          <w:szCs w:val="20"/>
          <w:lang w:eastAsia="fr-FR" w:bidi="ar-SA"/>
        </w:rPr>
        <w:t>Rep</w:t>
      </w:r>
      <w:proofErr w:type="spellEnd"/>
      <w:r w:rsidRPr="00EE643B">
        <w:rPr>
          <w:rFonts w:ascii="Arial" w:eastAsia="Times New Roman" w:hAnsi="Arial"/>
          <w:kern w:val="0"/>
          <w:sz w:val="20"/>
          <w:szCs w:val="20"/>
          <w:lang w:eastAsia="fr-FR" w:bidi="ar-SA"/>
        </w:rPr>
        <w:t>+ de l'école ou de l'établissement.</w:t>
      </w:r>
    </w:p>
    <w:p w:rsidR="00EE643B" w:rsidRPr="00EE643B" w:rsidRDefault="00EE643B" w:rsidP="00EE643B">
      <w:pPr>
        <w:widowControl/>
        <w:autoSpaceDN/>
        <w:jc w:val="both"/>
        <w:textAlignment w:val="auto"/>
        <w:rPr>
          <w:rFonts w:ascii="Arial" w:eastAsia="Times New Roman" w:hAnsi="Arial"/>
          <w:b/>
          <w:bCs/>
          <w:kern w:val="0"/>
          <w:sz w:val="20"/>
          <w:szCs w:val="20"/>
          <w:lang w:eastAsia="fr-FR" w:bidi="ar-SA"/>
        </w:rPr>
      </w:pPr>
      <w:r w:rsidRPr="00EE643B">
        <w:rPr>
          <w:rFonts w:ascii="Arial" w:eastAsia="Times New Roman" w:hAnsi="Arial"/>
          <w:b/>
          <w:bCs/>
          <w:kern w:val="0"/>
          <w:sz w:val="20"/>
          <w:szCs w:val="20"/>
          <w:lang w:eastAsia="fr-FR" w:bidi="ar-SA"/>
        </w:rPr>
        <w:t xml:space="preserve">Une même école peut bénéficier de deux labels (politique de la ville et </w:t>
      </w:r>
      <w:proofErr w:type="spellStart"/>
      <w:r w:rsidRPr="00EE643B">
        <w:rPr>
          <w:rFonts w:ascii="Arial" w:eastAsia="Times New Roman" w:hAnsi="Arial"/>
          <w:b/>
          <w:bCs/>
          <w:kern w:val="0"/>
          <w:sz w:val="20"/>
          <w:szCs w:val="20"/>
          <w:lang w:eastAsia="fr-FR" w:bidi="ar-SA"/>
        </w:rPr>
        <w:t>Rep</w:t>
      </w:r>
      <w:proofErr w:type="spellEnd"/>
      <w:r w:rsidRPr="00EE643B">
        <w:rPr>
          <w:rFonts w:ascii="Arial" w:eastAsia="Times New Roman" w:hAnsi="Arial"/>
          <w:b/>
          <w:bCs/>
          <w:kern w:val="0"/>
          <w:sz w:val="20"/>
          <w:szCs w:val="20"/>
          <w:lang w:eastAsia="fr-FR" w:bidi="ar-SA"/>
        </w:rPr>
        <w:t xml:space="preserve"> ou </w:t>
      </w:r>
      <w:proofErr w:type="spellStart"/>
      <w:r w:rsidRPr="00EE643B">
        <w:rPr>
          <w:rFonts w:ascii="Arial" w:eastAsia="Times New Roman" w:hAnsi="Arial"/>
          <w:b/>
          <w:bCs/>
          <w:kern w:val="0"/>
          <w:sz w:val="20"/>
          <w:szCs w:val="20"/>
          <w:lang w:eastAsia="fr-FR" w:bidi="ar-SA"/>
        </w:rPr>
        <w:t>Rep</w:t>
      </w:r>
      <w:proofErr w:type="spellEnd"/>
      <w:r w:rsidRPr="00EE643B">
        <w:rPr>
          <w:rFonts w:ascii="Arial" w:eastAsia="Times New Roman" w:hAnsi="Arial"/>
          <w:b/>
          <w:bCs/>
          <w:kern w:val="0"/>
          <w:sz w:val="20"/>
          <w:szCs w:val="20"/>
          <w:lang w:eastAsia="fr-FR" w:bidi="ar-SA"/>
        </w:rPr>
        <w:t>+). Dans ce cas, la règle la plus favorable s'applique selon les modalités ci-dessous :</w:t>
      </w:r>
    </w:p>
    <w:p w:rsidR="00EE643B" w:rsidRPr="00EE643B" w:rsidRDefault="00EE643B" w:rsidP="00EE643B">
      <w:pPr>
        <w:widowControl/>
        <w:autoSpaceDN/>
        <w:jc w:val="both"/>
        <w:textAlignment w:val="auto"/>
        <w:rPr>
          <w:rFonts w:ascii="Arial" w:eastAsia="Times New Roman" w:hAnsi="Arial"/>
          <w:kern w:val="0"/>
          <w:sz w:val="20"/>
          <w:szCs w:val="20"/>
          <w:lang w:eastAsia="fr-FR"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3"/>
        <w:gridCol w:w="979"/>
      </w:tblGrid>
      <w:tr w:rsidR="00EE643B" w:rsidRPr="00287711" w:rsidTr="00287711">
        <w:trPr>
          <w:trHeight w:val="550"/>
          <w:jc w:val="center"/>
        </w:trPr>
        <w:tc>
          <w:tcPr>
            <w:tcW w:w="7083" w:type="dxa"/>
            <w:vAlign w:val="center"/>
          </w:tcPr>
          <w:p w:rsidR="00EE643B" w:rsidRPr="00287711" w:rsidRDefault="00EE643B" w:rsidP="00287711">
            <w:pPr>
              <w:pStyle w:val="Default"/>
              <w:suppressAutoHyphens/>
              <w:jc w:val="center"/>
              <w:rPr>
                <w:sz w:val="18"/>
                <w:szCs w:val="20"/>
              </w:rPr>
            </w:pPr>
            <w:r w:rsidRPr="00287711">
              <w:rPr>
                <w:sz w:val="18"/>
                <w:szCs w:val="20"/>
              </w:rPr>
              <w:t>Ancienneté dans le dispositif</w:t>
            </w:r>
          </w:p>
        </w:tc>
        <w:tc>
          <w:tcPr>
            <w:tcW w:w="979" w:type="dxa"/>
            <w:vAlign w:val="center"/>
          </w:tcPr>
          <w:p w:rsidR="00EE643B" w:rsidRPr="00287711" w:rsidRDefault="00EE643B" w:rsidP="00287711">
            <w:pPr>
              <w:pStyle w:val="Default"/>
              <w:suppressAutoHyphens/>
              <w:jc w:val="center"/>
              <w:rPr>
                <w:sz w:val="18"/>
                <w:szCs w:val="20"/>
              </w:rPr>
            </w:pPr>
            <w:r w:rsidRPr="00287711">
              <w:rPr>
                <w:sz w:val="18"/>
                <w:szCs w:val="20"/>
              </w:rPr>
              <w:t>Points</w:t>
            </w:r>
          </w:p>
        </w:tc>
      </w:tr>
      <w:tr w:rsidR="00690165" w:rsidRPr="00287711" w:rsidTr="00287711">
        <w:trPr>
          <w:trHeight w:val="550"/>
          <w:jc w:val="center"/>
        </w:trPr>
        <w:tc>
          <w:tcPr>
            <w:tcW w:w="7083" w:type="dxa"/>
            <w:vAlign w:val="center"/>
          </w:tcPr>
          <w:p w:rsidR="00690165" w:rsidRPr="00287711" w:rsidRDefault="00332665" w:rsidP="00EE643B">
            <w:pPr>
              <w:pStyle w:val="Default"/>
              <w:suppressAutoHyphens/>
              <w:jc w:val="both"/>
              <w:rPr>
                <w:sz w:val="18"/>
                <w:szCs w:val="20"/>
              </w:rPr>
            </w:pPr>
            <w:r w:rsidRPr="00287711">
              <w:rPr>
                <w:sz w:val="18"/>
                <w:szCs w:val="20"/>
              </w:rPr>
              <w:t xml:space="preserve">5 années de services continus dans des écoles ou établissements relevant de la politique de la ville </w:t>
            </w:r>
          </w:p>
          <w:p w:rsidR="00332665" w:rsidRPr="00287711" w:rsidRDefault="00332665" w:rsidP="00EE643B">
            <w:pPr>
              <w:pStyle w:val="Default"/>
              <w:suppressAutoHyphens/>
              <w:jc w:val="both"/>
              <w:rPr>
                <w:sz w:val="18"/>
                <w:szCs w:val="20"/>
              </w:rPr>
            </w:pPr>
            <w:r w:rsidRPr="00287711">
              <w:rPr>
                <w:sz w:val="18"/>
                <w:szCs w:val="20"/>
              </w:rPr>
              <w:t>5 années de services continus dans des écoles ou établissements relevant du REP +</w:t>
            </w:r>
          </w:p>
        </w:tc>
        <w:tc>
          <w:tcPr>
            <w:tcW w:w="979" w:type="dxa"/>
            <w:vAlign w:val="center"/>
          </w:tcPr>
          <w:p w:rsidR="00690165" w:rsidRPr="00287711" w:rsidRDefault="00EE643B" w:rsidP="00287711">
            <w:pPr>
              <w:pStyle w:val="Default"/>
              <w:suppressAutoHyphens/>
              <w:jc w:val="center"/>
              <w:rPr>
                <w:sz w:val="18"/>
                <w:szCs w:val="20"/>
              </w:rPr>
            </w:pPr>
            <w:r w:rsidRPr="00287711">
              <w:rPr>
                <w:sz w:val="18"/>
                <w:szCs w:val="20"/>
              </w:rPr>
              <w:t>90</w:t>
            </w:r>
          </w:p>
        </w:tc>
      </w:tr>
      <w:tr w:rsidR="00690165" w:rsidRPr="00287711" w:rsidTr="00287711">
        <w:trPr>
          <w:trHeight w:val="239"/>
          <w:jc w:val="center"/>
        </w:trPr>
        <w:tc>
          <w:tcPr>
            <w:tcW w:w="7083" w:type="dxa"/>
            <w:vAlign w:val="center"/>
          </w:tcPr>
          <w:p w:rsidR="00690165" w:rsidRPr="00287711" w:rsidRDefault="00332665" w:rsidP="00EE643B">
            <w:pPr>
              <w:pStyle w:val="Default"/>
              <w:suppressAutoHyphens/>
              <w:jc w:val="both"/>
              <w:rPr>
                <w:sz w:val="18"/>
                <w:szCs w:val="20"/>
              </w:rPr>
            </w:pPr>
            <w:r w:rsidRPr="00287711">
              <w:rPr>
                <w:sz w:val="18"/>
                <w:szCs w:val="20"/>
              </w:rPr>
              <w:t xml:space="preserve">5 années de services continus dans des écoles ou établissements relevant du REP </w:t>
            </w:r>
          </w:p>
          <w:p w:rsidR="00332665" w:rsidRPr="00287711" w:rsidRDefault="00332665" w:rsidP="00EE643B">
            <w:pPr>
              <w:pStyle w:val="Default"/>
              <w:suppressAutoHyphens/>
              <w:jc w:val="both"/>
              <w:rPr>
                <w:sz w:val="18"/>
                <w:szCs w:val="20"/>
              </w:rPr>
            </w:pPr>
            <w:r w:rsidRPr="00287711">
              <w:rPr>
                <w:sz w:val="18"/>
                <w:szCs w:val="20"/>
              </w:rPr>
              <w:t>5 années de servic</w:t>
            </w:r>
            <w:r w:rsidR="000039E8" w:rsidRPr="00287711">
              <w:rPr>
                <w:sz w:val="18"/>
                <w:szCs w:val="20"/>
              </w:rPr>
              <w:t>es continus dans des écoles ou é</w:t>
            </w:r>
            <w:r w:rsidRPr="00287711">
              <w:rPr>
                <w:sz w:val="18"/>
                <w:szCs w:val="20"/>
              </w:rPr>
              <w:t xml:space="preserve">tablissements relevant du REP et du REP + </w:t>
            </w:r>
          </w:p>
        </w:tc>
        <w:tc>
          <w:tcPr>
            <w:tcW w:w="979" w:type="dxa"/>
            <w:vAlign w:val="center"/>
          </w:tcPr>
          <w:p w:rsidR="00690165" w:rsidRPr="00287711" w:rsidRDefault="00EE643B" w:rsidP="00287711">
            <w:pPr>
              <w:pStyle w:val="Default"/>
              <w:suppressAutoHyphens/>
              <w:jc w:val="center"/>
              <w:rPr>
                <w:sz w:val="18"/>
                <w:szCs w:val="20"/>
              </w:rPr>
            </w:pPr>
            <w:r w:rsidRPr="00287711">
              <w:rPr>
                <w:sz w:val="18"/>
                <w:szCs w:val="20"/>
              </w:rPr>
              <w:t>45</w:t>
            </w:r>
          </w:p>
        </w:tc>
      </w:tr>
    </w:tbl>
    <w:p w:rsidR="00690165" w:rsidRPr="00EE643B" w:rsidRDefault="00690165" w:rsidP="00EE643B">
      <w:pPr>
        <w:widowControl/>
        <w:autoSpaceDE w:val="0"/>
        <w:adjustRightInd w:val="0"/>
        <w:jc w:val="both"/>
        <w:textAlignment w:val="auto"/>
        <w:rPr>
          <w:rFonts w:ascii="Arial" w:hAnsi="Arial"/>
          <w:b/>
          <w:bCs/>
          <w:kern w:val="0"/>
          <w:sz w:val="20"/>
          <w:szCs w:val="20"/>
          <w:lang w:bidi="ar-SA"/>
        </w:rPr>
      </w:pPr>
    </w:p>
    <w:p w:rsidR="00907600" w:rsidRPr="00EE643B" w:rsidRDefault="00907600" w:rsidP="00EE643B">
      <w:pPr>
        <w:jc w:val="both"/>
        <w:rPr>
          <w:rFonts w:ascii="Arial" w:hAnsi="Arial"/>
          <w:b/>
          <w:bCs/>
          <w:kern w:val="0"/>
          <w:sz w:val="20"/>
          <w:szCs w:val="20"/>
          <w:lang w:bidi="ar-SA"/>
        </w:rPr>
      </w:pPr>
      <w:r w:rsidRPr="00EE643B">
        <w:rPr>
          <w:rFonts w:ascii="Arial" w:hAnsi="Arial"/>
          <w:b/>
          <w:bCs/>
          <w:kern w:val="0"/>
          <w:sz w:val="20"/>
          <w:szCs w:val="20"/>
          <w:lang w:bidi="ar-SA"/>
        </w:rPr>
        <w:t>Annexe V - Affectations e</w:t>
      </w:r>
      <w:r w:rsidR="00EE643B" w:rsidRPr="00EE643B">
        <w:rPr>
          <w:rFonts w:ascii="Arial" w:hAnsi="Arial"/>
          <w:b/>
          <w:bCs/>
          <w:kern w:val="0"/>
          <w:sz w:val="20"/>
          <w:szCs w:val="20"/>
          <w:lang w:bidi="ar-SA"/>
        </w:rPr>
        <w:t>n Départements d'Outre-Mer</w:t>
      </w:r>
    </w:p>
    <w:p w:rsidR="00EE643B" w:rsidRPr="00EE643B" w:rsidRDefault="00EE643B" w:rsidP="00EE643B">
      <w:pPr>
        <w:widowControl/>
        <w:autoSpaceDN/>
        <w:jc w:val="both"/>
        <w:textAlignment w:val="auto"/>
        <w:rPr>
          <w:rFonts w:ascii="Arial" w:eastAsia="Times New Roman" w:hAnsi="Arial"/>
          <w:kern w:val="0"/>
          <w:sz w:val="20"/>
          <w:szCs w:val="20"/>
          <w:lang w:eastAsia="fr-FR" w:bidi="ar-SA"/>
        </w:rPr>
      </w:pPr>
      <w:r w:rsidRPr="00EE643B">
        <w:rPr>
          <w:rFonts w:ascii="Arial" w:eastAsia="Times New Roman" w:hAnsi="Arial"/>
          <w:kern w:val="0"/>
          <w:sz w:val="20"/>
          <w:szCs w:val="20"/>
          <w:lang w:eastAsia="fr-FR" w:bidi="ar-SA"/>
        </w:rPr>
        <w:t>V.1 Information générale</w:t>
      </w:r>
    </w:p>
    <w:p w:rsidR="00EE643B" w:rsidRPr="00EE643B" w:rsidRDefault="00EE643B" w:rsidP="00EE643B">
      <w:pPr>
        <w:widowControl/>
        <w:autoSpaceDN/>
        <w:jc w:val="both"/>
        <w:textAlignment w:val="auto"/>
        <w:rPr>
          <w:rFonts w:ascii="Arial" w:eastAsia="Times New Roman" w:hAnsi="Arial"/>
          <w:kern w:val="0"/>
          <w:sz w:val="20"/>
          <w:szCs w:val="20"/>
          <w:lang w:eastAsia="fr-FR" w:bidi="ar-SA"/>
        </w:rPr>
      </w:pPr>
      <w:r w:rsidRPr="00EE643B">
        <w:rPr>
          <w:rFonts w:ascii="Arial" w:eastAsia="Times New Roman" w:hAnsi="Arial"/>
          <w:kern w:val="0"/>
          <w:sz w:val="20"/>
          <w:szCs w:val="20"/>
          <w:lang w:eastAsia="fr-FR" w:bidi="ar-SA"/>
        </w:rPr>
        <w:t>Il est vivement recommandé aux personnels concernés ou intéressés par une mutation dans les DOM de prendre connaissance des textes réglementaires suivants :</w:t>
      </w:r>
    </w:p>
    <w:p w:rsidR="00EE643B" w:rsidRPr="00EE643B" w:rsidRDefault="00EE643B" w:rsidP="00EE643B">
      <w:pPr>
        <w:widowControl/>
        <w:autoSpaceDN/>
        <w:jc w:val="both"/>
        <w:textAlignment w:val="auto"/>
        <w:rPr>
          <w:rFonts w:ascii="Arial" w:eastAsia="Times New Roman" w:hAnsi="Arial"/>
          <w:kern w:val="0"/>
          <w:sz w:val="20"/>
          <w:szCs w:val="20"/>
          <w:lang w:eastAsia="fr-FR" w:bidi="ar-SA"/>
        </w:rPr>
      </w:pPr>
      <w:r w:rsidRPr="00EE643B">
        <w:rPr>
          <w:rFonts w:ascii="Arial" w:eastAsia="Times New Roman" w:hAnsi="Arial"/>
          <w:kern w:val="0"/>
          <w:sz w:val="20"/>
          <w:szCs w:val="20"/>
          <w:lang w:eastAsia="fr-FR" w:bidi="ar-SA"/>
        </w:rPr>
        <w:t>Décret n°2013-964 du 28 octobre 2013 portant création d'une majoration de traitement allouée aux fonctionnaires de l'État et de la fonction publique hospitalière et aux magistrats en service dans le département de Mayotte ;</w:t>
      </w:r>
    </w:p>
    <w:p w:rsidR="00EE643B" w:rsidRPr="00EE643B" w:rsidRDefault="00EE643B" w:rsidP="00EE643B">
      <w:pPr>
        <w:widowControl/>
        <w:autoSpaceDN/>
        <w:jc w:val="both"/>
        <w:textAlignment w:val="auto"/>
        <w:rPr>
          <w:rFonts w:ascii="Arial" w:eastAsia="Times New Roman" w:hAnsi="Arial"/>
          <w:kern w:val="0"/>
          <w:sz w:val="20"/>
          <w:szCs w:val="20"/>
          <w:lang w:eastAsia="fr-FR" w:bidi="ar-SA"/>
        </w:rPr>
      </w:pPr>
      <w:r w:rsidRPr="00EE643B">
        <w:rPr>
          <w:rFonts w:ascii="Arial" w:eastAsia="Times New Roman" w:hAnsi="Arial"/>
          <w:kern w:val="0"/>
          <w:sz w:val="20"/>
          <w:szCs w:val="20"/>
          <w:lang w:eastAsia="fr-FR" w:bidi="ar-SA"/>
        </w:rPr>
        <w:t xml:space="preserve">La circulaire relative à la situation des agents originaires de Mayotte et/ou affectés à Mayotte NOR : RDFF1421498C, accessible sur le site </w:t>
      </w:r>
      <w:hyperlink r:id="rId8" w:tooltip="Site de Légifrance" w:history="1">
        <w:r w:rsidRPr="00EE643B">
          <w:rPr>
            <w:rFonts w:ascii="Arial" w:eastAsia="Times New Roman" w:hAnsi="Arial"/>
            <w:color w:val="0000FF"/>
            <w:kern w:val="0"/>
            <w:sz w:val="20"/>
            <w:szCs w:val="20"/>
            <w:u w:val="single"/>
            <w:lang w:eastAsia="fr-FR" w:bidi="ar-SA"/>
          </w:rPr>
          <w:t>www.legifrance.gouv.fr</w:t>
        </w:r>
      </w:hyperlink>
      <w:r w:rsidRPr="00EE643B">
        <w:rPr>
          <w:rFonts w:ascii="Arial" w:eastAsia="Times New Roman" w:hAnsi="Arial"/>
          <w:kern w:val="0"/>
          <w:sz w:val="20"/>
          <w:szCs w:val="20"/>
          <w:lang w:eastAsia="fr-FR" w:bidi="ar-SA"/>
        </w:rPr>
        <w:t> ;</w:t>
      </w:r>
    </w:p>
    <w:p w:rsidR="00EE643B" w:rsidRPr="00EE643B" w:rsidRDefault="00EE643B" w:rsidP="00EE643B">
      <w:pPr>
        <w:widowControl/>
        <w:autoSpaceDN/>
        <w:jc w:val="both"/>
        <w:textAlignment w:val="auto"/>
        <w:rPr>
          <w:rFonts w:ascii="Arial" w:eastAsia="Times New Roman" w:hAnsi="Arial"/>
          <w:kern w:val="0"/>
          <w:sz w:val="20"/>
          <w:szCs w:val="20"/>
          <w:lang w:eastAsia="fr-FR" w:bidi="ar-SA"/>
        </w:rPr>
      </w:pPr>
      <w:r w:rsidRPr="00EE643B">
        <w:rPr>
          <w:rFonts w:ascii="Arial" w:eastAsia="Times New Roman" w:hAnsi="Arial"/>
          <w:kern w:val="0"/>
          <w:sz w:val="20"/>
          <w:szCs w:val="20"/>
          <w:lang w:eastAsia="fr-FR" w:bidi="ar-SA"/>
        </w:rPr>
        <w:t>Décret n° 2013-965 du 28 octobre 2013 portant application de l'indemnité de sujétions géographiques aux fonctionnaires de l'État titulaires et stagiaires et aux magistrats affectés à Mayotte ;</w:t>
      </w:r>
    </w:p>
    <w:p w:rsidR="00EE643B" w:rsidRPr="00EE643B" w:rsidRDefault="00EE643B" w:rsidP="00EE643B">
      <w:pPr>
        <w:widowControl/>
        <w:autoSpaceDN/>
        <w:jc w:val="both"/>
        <w:textAlignment w:val="auto"/>
        <w:rPr>
          <w:rFonts w:ascii="Arial" w:eastAsia="Times New Roman" w:hAnsi="Arial"/>
          <w:kern w:val="0"/>
          <w:sz w:val="20"/>
          <w:szCs w:val="20"/>
          <w:lang w:eastAsia="fr-FR" w:bidi="ar-SA"/>
        </w:rPr>
      </w:pPr>
      <w:r w:rsidRPr="00EE643B">
        <w:rPr>
          <w:rFonts w:ascii="Arial" w:eastAsia="Times New Roman" w:hAnsi="Arial"/>
          <w:kern w:val="0"/>
          <w:sz w:val="20"/>
          <w:szCs w:val="20"/>
          <w:lang w:eastAsia="fr-FR" w:bidi="ar-SA"/>
        </w:rPr>
        <w:t>Décret n° 98-843 du 22 septembre 1998 modifiant le décret n° 89-271 du 12 avril 1989 fixant les conditions et les modalités de règlement des frais de déplacement des personnels civils à l'intérieur des départements d'outre-mer, entre la métropole et ces départements, et pour se rendre d'un département d'outre-mer à un autre.</w:t>
      </w:r>
    </w:p>
    <w:p w:rsidR="00EE643B" w:rsidRPr="00EE643B" w:rsidRDefault="00EE643B" w:rsidP="00EE643B">
      <w:pPr>
        <w:widowControl/>
        <w:autoSpaceDN/>
        <w:jc w:val="both"/>
        <w:textAlignment w:val="auto"/>
        <w:rPr>
          <w:rFonts w:ascii="Arial" w:eastAsia="Times New Roman" w:hAnsi="Arial"/>
          <w:kern w:val="0"/>
          <w:sz w:val="20"/>
          <w:szCs w:val="20"/>
          <w:lang w:eastAsia="fr-FR" w:bidi="ar-SA"/>
        </w:rPr>
      </w:pPr>
      <w:r w:rsidRPr="00EE643B">
        <w:rPr>
          <w:rFonts w:ascii="Arial" w:eastAsia="Times New Roman" w:hAnsi="Arial"/>
          <w:kern w:val="0"/>
          <w:sz w:val="20"/>
          <w:szCs w:val="20"/>
          <w:lang w:eastAsia="fr-FR" w:bidi="ar-SA"/>
        </w:rPr>
        <w:t>Les agents qui sont affectés immédiatement à Mayotte après un détachement n'ont pas droit au versement des frais de changement de résidence à l'exception des agents qui sont détachés au titre de l'article 14-1 du décret n° 85-986 du 16 septembre 1985 et qui doivent avoir été réintégrés dans une académie ou un Dom et y avoir exercé un service effectif.</w:t>
      </w:r>
    </w:p>
    <w:p w:rsidR="00EE643B" w:rsidRDefault="00EE643B" w:rsidP="00EE643B">
      <w:pPr>
        <w:widowControl/>
        <w:autoSpaceDN/>
        <w:jc w:val="both"/>
        <w:textAlignment w:val="auto"/>
        <w:rPr>
          <w:rFonts w:ascii="Arial" w:eastAsia="Times New Roman" w:hAnsi="Arial"/>
          <w:kern w:val="0"/>
          <w:sz w:val="20"/>
          <w:szCs w:val="20"/>
          <w:lang w:eastAsia="fr-FR" w:bidi="ar-SA"/>
        </w:rPr>
      </w:pPr>
      <w:r w:rsidRPr="00EE643B">
        <w:rPr>
          <w:rFonts w:ascii="Arial" w:eastAsia="Times New Roman" w:hAnsi="Arial"/>
          <w:kern w:val="0"/>
          <w:sz w:val="20"/>
          <w:szCs w:val="20"/>
          <w:lang w:eastAsia="fr-FR" w:bidi="ar-SA"/>
        </w:rPr>
        <w:t>Décret n° 98-844 du 22 septembre 1998 fixant les conditions et modalités de règlement des frais occasionnés par les déplacements des personnels civils de l'État à l'intérieur d'un territoire d'outre-mer, entre la métropole et un territoire d'outre-mer, entre deux territoires d'outre-mer et entre un territoire d'outre-mer et un département d'outre-mer, la collectivité territoriale de Mayotte ou celle de Saint-Pierre-et-Miquelon, article 41.</w:t>
      </w:r>
    </w:p>
    <w:p w:rsidR="00A72F51" w:rsidRPr="00EE643B" w:rsidRDefault="00A72F51" w:rsidP="00EE643B">
      <w:pPr>
        <w:widowControl/>
        <w:autoSpaceDN/>
        <w:jc w:val="both"/>
        <w:textAlignment w:val="auto"/>
        <w:rPr>
          <w:rFonts w:ascii="Arial" w:eastAsia="Times New Roman" w:hAnsi="Arial"/>
          <w:kern w:val="0"/>
          <w:sz w:val="20"/>
          <w:szCs w:val="20"/>
          <w:lang w:eastAsia="fr-FR" w:bidi="ar-SA"/>
        </w:rPr>
      </w:pPr>
    </w:p>
    <w:p w:rsidR="00EE643B" w:rsidRPr="00EE643B" w:rsidRDefault="00EE643B" w:rsidP="00EE643B">
      <w:pPr>
        <w:widowControl/>
        <w:autoSpaceDN/>
        <w:jc w:val="both"/>
        <w:textAlignment w:val="auto"/>
        <w:rPr>
          <w:rFonts w:ascii="Arial" w:eastAsia="Times New Roman" w:hAnsi="Arial"/>
          <w:kern w:val="0"/>
          <w:sz w:val="20"/>
          <w:szCs w:val="20"/>
          <w:lang w:eastAsia="fr-FR" w:bidi="ar-SA"/>
        </w:rPr>
      </w:pPr>
      <w:r w:rsidRPr="00EE643B">
        <w:rPr>
          <w:rFonts w:ascii="Arial" w:eastAsia="Times New Roman" w:hAnsi="Arial"/>
          <w:kern w:val="0"/>
          <w:sz w:val="20"/>
          <w:szCs w:val="20"/>
          <w:lang w:eastAsia="fr-FR" w:bidi="ar-SA"/>
        </w:rPr>
        <w:t>V.2 Les conditions de vie</w:t>
      </w:r>
    </w:p>
    <w:p w:rsidR="00EE643B" w:rsidRPr="00EE643B" w:rsidRDefault="00EE643B" w:rsidP="00EE643B">
      <w:pPr>
        <w:widowControl/>
        <w:autoSpaceDN/>
        <w:jc w:val="both"/>
        <w:textAlignment w:val="auto"/>
        <w:rPr>
          <w:rFonts w:ascii="Arial" w:eastAsia="Times New Roman" w:hAnsi="Arial"/>
          <w:kern w:val="0"/>
          <w:sz w:val="20"/>
          <w:szCs w:val="20"/>
          <w:lang w:eastAsia="fr-FR" w:bidi="ar-SA"/>
        </w:rPr>
      </w:pPr>
      <w:r w:rsidRPr="00EE643B">
        <w:rPr>
          <w:rFonts w:ascii="Arial" w:eastAsia="Times New Roman" w:hAnsi="Arial"/>
          <w:kern w:val="0"/>
          <w:sz w:val="20"/>
          <w:szCs w:val="20"/>
          <w:lang w:eastAsia="fr-FR" w:bidi="ar-SA"/>
        </w:rPr>
        <w:t>Les conditions de vie en outre-mer sont très diversifiées suivant que le poste se trouve dans une ville ou éloigné de toute agglomération.</w:t>
      </w:r>
    </w:p>
    <w:p w:rsidR="00EE643B" w:rsidRPr="00EE643B" w:rsidRDefault="00EE643B" w:rsidP="00EE643B">
      <w:pPr>
        <w:widowControl/>
        <w:autoSpaceDN/>
        <w:jc w:val="both"/>
        <w:textAlignment w:val="auto"/>
        <w:rPr>
          <w:rFonts w:ascii="Arial" w:eastAsia="Times New Roman" w:hAnsi="Arial"/>
          <w:kern w:val="0"/>
          <w:sz w:val="20"/>
          <w:szCs w:val="20"/>
          <w:lang w:eastAsia="fr-FR" w:bidi="ar-SA"/>
        </w:rPr>
      </w:pPr>
      <w:r w:rsidRPr="00EE643B">
        <w:rPr>
          <w:rFonts w:ascii="Arial" w:eastAsia="Times New Roman" w:hAnsi="Arial"/>
          <w:kern w:val="0"/>
          <w:sz w:val="20"/>
          <w:szCs w:val="20"/>
          <w:lang w:eastAsia="fr-FR" w:bidi="ar-SA"/>
        </w:rPr>
        <w:t xml:space="preserve">En tout état de cause, selon les départements, les repères métropolitains ne sont pas ceux de l'environnement local : cherté de la vie, climat social difficile, tissu économique peu </w:t>
      </w:r>
      <w:r w:rsidRPr="00EE643B">
        <w:rPr>
          <w:rFonts w:ascii="Arial" w:eastAsia="Times New Roman" w:hAnsi="Arial"/>
          <w:kern w:val="0"/>
          <w:sz w:val="20"/>
          <w:szCs w:val="20"/>
          <w:lang w:eastAsia="fr-FR" w:bidi="ar-SA"/>
        </w:rPr>
        <w:lastRenderedPageBreak/>
        <w:t>diversifié, communications difficiles, les réseaux peuvent ne pas couvrir l'ensemble des départements.</w:t>
      </w:r>
    </w:p>
    <w:p w:rsidR="00EE643B" w:rsidRPr="00EE643B" w:rsidRDefault="00EE643B" w:rsidP="00EE643B">
      <w:pPr>
        <w:widowControl/>
        <w:autoSpaceDN/>
        <w:jc w:val="both"/>
        <w:textAlignment w:val="auto"/>
        <w:rPr>
          <w:rFonts w:ascii="Arial" w:eastAsia="Times New Roman" w:hAnsi="Arial"/>
          <w:kern w:val="0"/>
          <w:sz w:val="20"/>
          <w:szCs w:val="20"/>
          <w:lang w:eastAsia="fr-FR" w:bidi="ar-SA"/>
        </w:rPr>
      </w:pPr>
      <w:r w:rsidRPr="00EE643B">
        <w:rPr>
          <w:rFonts w:ascii="Arial" w:eastAsia="Times New Roman" w:hAnsi="Arial"/>
          <w:kern w:val="0"/>
          <w:sz w:val="20"/>
          <w:szCs w:val="20"/>
          <w:lang w:eastAsia="fr-FR" w:bidi="ar-SA"/>
        </w:rPr>
        <w:t>La possibilité, pour le conjoint, de trouver un emploi, est très dépendante de son secteur d'activité. Il est recommandé de bien se renseigner avant de formuler une demande de départ pour l'outre-mer.</w:t>
      </w:r>
    </w:p>
    <w:p w:rsidR="00EE643B" w:rsidRPr="00EE643B" w:rsidRDefault="00EE643B" w:rsidP="00EE643B">
      <w:pPr>
        <w:widowControl/>
        <w:autoSpaceDN/>
        <w:jc w:val="both"/>
        <w:textAlignment w:val="auto"/>
        <w:rPr>
          <w:rFonts w:ascii="Arial" w:eastAsia="Times New Roman" w:hAnsi="Arial"/>
          <w:kern w:val="0"/>
          <w:sz w:val="20"/>
          <w:szCs w:val="20"/>
          <w:lang w:eastAsia="fr-FR" w:bidi="ar-SA"/>
        </w:rPr>
      </w:pPr>
      <w:r w:rsidRPr="00EE643B">
        <w:rPr>
          <w:rFonts w:ascii="Arial" w:eastAsia="Times New Roman" w:hAnsi="Arial"/>
          <w:kern w:val="0"/>
          <w:sz w:val="20"/>
          <w:szCs w:val="20"/>
          <w:lang w:eastAsia="fr-FR" w:bidi="ar-SA"/>
        </w:rPr>
        <w:t xml:space="preserve">Pour toutes informations complémentaires, les candidats sont invités à consulter </w:t>
      </w:r>
      <w:r w:rsidR="00287711">
        <w:rPr>
          <w:rFonts w:ascii="Arial" w:eastAsia="Times New Roman" w:hAnsi="Arial"/>
          <w:kern w:val="0"/>
          <w:sz w:val="20"/>
          <w:szCs w:val="20"/>
          <w:lang w:eastAsia="fr-FR" w:bidi="ar-SA"/>
        </w:rPr>
        <w:t>les sites Internet des services</w:t>
      </w:r>
      <w:r w:rsidRPr="00EE643B">
        <w:rPr>
          <w:rFonts w:ascii="Arial" w:eastAsia="Times New Roman" w:hAnsi="Arial"/>
          <w:kern w:val="0"/>
          <w:sz w:val="20"/>
          <w:szCs w:val="20"/>
          <w:lang w:eastAsia="fr-FR" w:bidi="ar-SA"/>
        </w:rPr>
        <w:t xml:space="preserve"> académiques des DOM et du vice rectorat de Mayotte qui donnent un aperçu utile du système éducatif et des conditions de vie dans les départements d'outre-mer.</w:t>
      </w:r>
    </w:p>
    <w:p w:rsidR="00EE643B" w:rsidRPr="00EE643B" w:rsidRDefault="00EE643B" w:rsidP="00EE643B">
      <w:pPr>
        <w:widowControl/>
        <w:autoSpaceDN/>
        <w:jc w:val="both"/>
        <w:textAlignment w:val="auto"/>
        <w:rPr>
          <w:rFonts w:ascii="Arial" w:eastAsia="Times New Roman" w:hAnsi="Arial"/>
          <w:kern w:val="0"/>
          <w:sz w:val="20"/>
          <w:szCs w:val="20"/>
          <w:lang w:eastAsia="fr-FR" w:bidi="ar-SA"/>
        </w:rPr>
      </w:pPr>
      <w:r w:rsidRPr="00EE643B">
        <w:rPr>
          <w:rFonts w:ascii="Arial" w:eastAsia="Times New Roman" w:hAnsi="Arial"/>
          <w:kern w:val="0"/>
          <w:sz w:val="20"/>
          <w:szCs w:val="20"/>
          <w:lang w:eastAsia="fr-FR" w:bidi="ar-SA"/>
        </w:rPr>
        <w:t xml:space="preserve">S'agissant plus particulièrement de </w:t>
      </w:r>
      <w:r w:rsidRPr="00EE643B">
        <w:rPr>
          <w:rFonts w:ascii="Arial" w:eastAsia="Times New Roman" w:hAnsi="Arial"/>
          <w:b/>
          <w:bCs/>
          <w:kern w:val="0"/>
          <w:sz w:val="20"/>
          <w:szCs w:val="20"/>
          <w:lang w:eastAsia="fr-FR" w:bidi="ar-SA"/>
        </w:rPr>
        <w:t>Mayotte </w:t>
      </w:r>
      <w:r w:rsidRPr="00EE643B">
        <w:rPr>
          <w:rFonts w:ascii="Arial" w:eastAsia="Times New Roman" w:hAnsi="Arial"/>
          <w:kern w:val="0"/>
          <w:sz w:val="20"/>
          <w:szCs w:val="20"/>
          <w:lang w:eastAsia="fr-FR" w:bidi="ar-SA"/>
        </w:rPr>
        <w:t>:</w:t>
      </w:r>
    </w:p>
    <w:p w:rsidR="00EE643B" w:rsidRPr="00EE643B" w:rsidRDefault="00EE643B" w:rsidP="00EE643B">
      <w:pPr>
        <w:widowControl/>
        <w:autoSpaceDN/>
        <w:jc w:val="both"/>
        <w:textAlignment w:val="auto"/>
        <w:rPr>
          <w:rFonts w:ascii="Arial" w:eastAsia="Times New Roman" w:hAnsi="Arial"/>
          <w:kern w:val="0"/>
          <w:sz w:val="20"/>
          <w:szCs w:val="20"/>
          <w:lang w:eastAsia="fr-FR" w:bidi="ar-SA"/>
        </w:rPr>
      </w:pPr>
      <w:r w:rsidRPr="00EE643B">
        <w:rPr>
          <w:rFonts w:ascii="Arial" w:eastAsia="Times New Roman" w:hAnsi="Arial"/>
          <w:kern w:val="0"/>
          <w:sz w:val="20"/>
          <w:szCs w:val="20"/>
          <w:lang w:eastAsia="fr-FR" w:bidi="ar-SA"/>
        </w:rPr>
        <w:t>Un bon équilibre psychologique et une bonne santé sont les conditions indispensables aux enseignants qui envisagent d'exercer à Mayotte. Le climat, de type tropical humide, est éprouvant et incompatible avec certaines pathologies. L'affectation à Mayotte n'est plus soumise à la visite médicale obligatoire, cependant, elle nécessite d'établir un bilan exhaustif de son état de santé avant de faire acte de candidature. Un seul service d'urgence fonctionne à l'hôpital de Mamoudzou. On trouve quelques médecins libéraux et des dispensaires. Certains services spécialisés sont absents de l'île.</w:t>
      </w:r>
    </w:p>
    <w:p w:rsidR="00EE643B" w:rsidRPr="00EE643B" w:rsidRDefault="00EE643B" w:rsidP="00EE643B">
      <w:pPr>
        <w:widowControl/>
        <w:autoSpaceDN/>
        <w:jc w:val="both"/>
        <w:textAlignment w:val="auto"/>
        <w:rPr>
          <w:rFonts w:ascii="Arial" w:eastAsia="Times New Roman" w:hAnsi="Arial"/>
          <w:kern w:val="0"/>
          <w:sz w:val="20"/>
          <w:szCs w:val="20"/>
          <w:lang w:eastAsia="fr-FR" w:bidi="ar-SA"/>
        </w:rPr>
      </w:pPr>
      <w:r w:rsidRPr="00EE643B">
        <w:rPr>
          <w:rFonts w:ascii="Arial" w:eastAsia="Times New Roman" w:hAnsi="Arial"/>
          <w:kern w:val="0"/>
          <w:sz w:val="20"/>
          <w:szCs w:val="20"/>
          <w:lang w:eastAsia="fr-FR" w:bidi="ar-SA"/>
        </w:rPr>
        <w:t>Les enfants doivent bénéficier de toutes les vaccinations incluses dans le calendrier vaccinal français - consulter le site du ministère de la santé. Pour les adultes, la mise à jour des vaccinations tétanos et poliomyélite est également recommandée.</w:t>
      </w:r>
    </w:p>
    <w:p w:rsidR="00EE643B" w:rsidRPr="00EE643B" w:rsidRDefault="00EE643B" w:rsidP="00EE643B">
      <w:pPr>
        <w:widowControl/>
        <w:autoSpaceDN/>
        <w:jc w:val="both"/>
        <w:textAlignment w:val="auto"/>
        <w:rPr>
          <w:rFonts w:ascii="Arial" w:eastAsia="Times New Roman" w:hAnsi="Arial"/>
          <w:kern w:val="0"/>
          <w:sz w:val="20"/>
          <w:szCs w:val="20"/>
          <w:lang w:eastAsia="fr-FR" w:bidi="ar-SA"/>
        </w:rPr>
      </w:pPr>
      <w:r w:rsidRPr="00EE643B">
        <w:rPr>
          <w:rFonts w:ascii="Arial" w:eastAsia="Times New Roman" w:hAnsi="Arial"/>
          <w:kern w:val="0"/>
          <w:sz w:val="20"/>
          <w:szCs w:val="20"/>
          <w:lang w:eastAsia="fr-FR" w:bidi="ar-SA"/>
        </w:rPr>
        <w:t xml:space="preserve">En ce qui concerne le département de la </w:t>
      </w:r>
      <w:r w:rsidRPr="00EE643B">
        <w:rPr>
          <w:rFonts w:ascii="Arial" w:eastAsia="Times New Roman" w:hAnsi="Arial"/>
          <w:b/>
          <w:bCs/>
          <w:kern w:val="0"/>
          <w:sz w:val="20"/>
          <w:szCs w:val="20"/>
          <w:lang w:eastAsia="fr-FR" w:bidi="ar-SA"/>
        </w:rPr>
        <w:t>Guyane</w:t>
      </w:r>
      <w:r w:rsidRPr="00EE643B">
        <w:rPr>
          <w:rFonts w:ascii="Arial" w:eastAsia="Times New Roman" w:hAnsi="Arial"/>
          <w:kern w:val="0"/>
          <w:sz w:val="20"/>
          <w:szCs w:val="20"/>
          <w:lang w:eastAsia="fr-FR" w:bidi="ar-SA"/>
        </w:rPr>
        <w:t>, il convient de rappeler que travailler dans ce département requiert de la part des personnels une certaine adaptabilité en raison d'affectations parfois très éloignées et isolées. Un bon équilibre psychologique et une bonne condition physique sont également les conditions indispensables pour bien vivre en Guyane.</w:t>
      </w:r>
    </w:p>
    <w:p w:rsidR="00EE643B" w:rsidRPr="00EE643B" w:rsidRDefault="00EE643B" w:rsidP="00EE643B">
      <w:pPr>
        <w:widowControl/>
        <w:autoSpaceDN/>
        <w:jc w:val="both"/>
        <w:textAlignment w:val="auto"/>
        <w:rPr>
          <w:rFonts w:ascii="Arial" w:eastAsia="Times New Roman" w:hAnsi="Arial"/>
          <w:kern w:val="0"/>
          <w:sz w:val="20"/>
          <w:szCs w:val="20"/>
          <w:lang w:eastAsia="fr-FR" w:bidi="ar-SA"/>
        </w:rPr>
      </w:pPr>
      <w:r w:rsidRPr="00EE643B">
        <w:rPr>
          <w:rFonts w:ascii="Arial" w:eastAsia="Times New Roman" w:hAnsi="Arial"/>
          <w:kern w:val="0"/>
          <w:sz w:val="20"/>
          <w:szCs w:val="20"/>
          <w:lang w:eastAsia="fr-FR" w:bidi="ar-SA"/>
        </w:rPr>
        <w:t>Par ailleurs, la mise à jour des vaccinations contre le paludisme et la fièvre jaune est obligatoire (consulter le site du ministère de la santé).</w:t>
      </w:r>
    </w:p>
    <w:p w:rsidR="00CA0353" w:rsidRPr="00EE643B" w:rsidRDefault="00CA0353" w:rsidP="00EE643B">
      <w:pPr>
        <w:jc w:val="both"/>
        <w:rPr>
          <w:rFonts w:ascii="Arial" w:hAnsi="Arial"/>
          <w:b/>
          <w:color w:val="000000"/>
          <w:kern w:val="0"/>
          <w:sz w:val="20"/>
          <w:szCs w:val="20"/>
          <w:lang w:bidi="ar-SA"/>
        </w:rPr>
      </w:pPr>
    </w:p>
    <w:sectPr w:rsidR="00CA0353" w:rsidRPr="00EE643B" w:rsidSect="00157119">
      <w:footerReference w:type="default" r:id="rId9"/>
      <w:pgSz w:w="11906" w:h="16838"/>
      <w:pgMar w:top="851" w:right="794" w:bottom="851" w:left="2948" w:header="397"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E3D" w:rsidRDefault="005C1E3D">
      <w:r>
        <w:separator/>
      </w:r>
    </w:p>
  </w:endnote>
  <w:endnote w:type="continuationSeparator" w:id="0">
    <w:p w:rsidR="005C1E3D" w:rsidRDefault="005C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jaVu Sans">
    <w:panose1 w:val="020B0603030804020204"/>
    <w:charset w:val="00"/>
    <w:family w:val="swiss"/>
    <w:pitch w:val="variable"/>
    <w:sig w:usb0="E7002EFF" w:usb1="D200FDFF" w:usb2="0A24602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1343434215"/>
      <w:docPartObj>
        <w:docPartGallery w:val="Page Numbers (Bottom of Page)"/>
        <w:docPartUnique/>
      </w:docPartObj>
    </w:sdtPr>
    <w:sdtEndPr/>
    <w:sdtContent>
      <w:sdt>
        <w:sdtPr>
          <w:rPr>
            <w:sz w:val="16"/>
          </w:rPr>
          <w:id w:val="-1769616900"/>
          <w:docPartObj>
            <w:docPartGallery w:val="Page Numbers (Top of Page)"/>
            <w:docPartUnique/>
          </w:docPartObj>
        </w:sdtPr>
        <w:sdtEndPr/>
        <w:sdtContent>
          <w:p w:rsidR="002E0AD7" w:rsidRPr="00340B17" w:rsidRDefault="002E0AD7" w:rsidP="00F4312B">
            <w:pPr>
              <w:pStyle w:val="Pieddepage"/>
              <w:jc w:val="right"/>
              <w:rPr>
                <w:sz w:val="16"/>
              </w:rPr>
            </w:pPr>
            <w:r w:rsidRPr="00F4312B">
              <w:rPr>
                <w:bCs/>
              </w:rPr>
              <w:fldChar w:fldCharType="begin"/>
            </w:r>
            <w:r w:rsidRPr="00F4312B">
              <w:rPr>
                <w:bCs/>
                <w:sz w:val="16"/>
              </w:rPr>
              <w:instrText>PAGE</w:instrText>
            </w:r>
            <w:r w:rsidRPr="00F4312B">
              <w:rPr>
                <w:bCs/>
              </w:rPr>
              <w:fldChar w:fldCharType="separate"/>
            </w:r>
            <w:r w:rsidR="008C5ACE">
              <w:rPr>
                <w:bCs/>
                <w:noProof/>
                <w:sz w:val="16"/>
              </w:rPr>
              <w:t>8</w:t>
            </w:r>
            <w:r w:rsidRPr="00F4312B">
              <w:rPr>
                <w:bCs/>
              </w:rPr>
              <w:fldChar w:fldCharType="end"/>
            </w:r>
            <w:r w:rsidR="00F4312B" w:rsidRPr="00F4312B">
              <w:rPr>
                <w:bCs/>
              </w:rPr>
              <w:t>/</w:t>
            </w:r>
            <w:r w:rsidRPr="00F4312B">
              <w:rPr>
                <w:bCs/>
              </w:rPr>
              <w:fldChar w:fldCharType="begin"/>
            </w:r>
            <w:r w:rsidRPr="00F4312B">
              <w:rPr>
                <w:bCs/>
                <w:sz w:val="16"/>
              </w:rPr>
              <w:instrText>NUMPAGES</w:instrText>
            </w:r>
            <w:r w:rsidRPr="00F4312B">
              <w:rPr>
                <w:bCs/>
              </w:rPr>
              <w:fldChar w:fldCharType="separate"/>
            </w:r>
            <w:r w:rsidR="008C5ACE">
              <w:rPr>
                <w:bCs/>
                <w:noProof/>
                <w:sz w:val="16"/>
              </w:rPr>
              <w:t>8</w:t>
            </w:r>
            <w:r w:rsidRPr="00F4312B">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E3D" w:rsidRDefault="005C1E3D">
      <w:r>
        <w:rPr>
          <w:color w:val="000000"/>
        </w:rPr>
        <w:separator/>
      </w:r>
    </w:p>
  </w:footnote>
  <w:footnote w:type="continuationSeparator" w:id="0">
    <w:p w:rsidR="005C1E3D" w:rsidRDefault="005C1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F66"/>
    <w:multiLevelType w:val="multilevel"/>
    <w:tmpl w:val="F2C03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A6366"/>
    <w:multiLevelType w:val="hybridMultilevel"/>
    <w:tmpl w:val="A20645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7E62631"/>
    <w:multiLevelType w:val="multilevel"/>
    <w:tmpl w:val="C9CE7A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DB26B1"/>
    <w:multiLevelType w:val="multilevel"/>
    <w:tmpl w:val="0B6A34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51686E"/>
    <w:multiLevelType w:val="multilevel"/>
    <w:tmpl w:val="1B62D3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DB72D8"/>
    <w:multiLevelType w:val="multilevel"/>
    <w:tmpl w:val="30929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E63502"/>
    <w:multiLevelType w:val="hybridMultilevel"/>
    <w:tmpl w:val="8E2EF3A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4061502"/>
    <w:multiLevelType w:val="multilevel"/>
    <w:tmpl w:val="2B7C90F2"/>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8" w15:restartNumberingAfterBreak="0">
    <w:nsid w:val="34B534D7"/>
    <w:multiLevelType w:val="multilevel"/>
    <w:tmpl w:val="C948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684FF0"/>
    <w:multiLevelType w:val="multilevel"/>
    <w:tmpl w:val="FE5EF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8"/>
  </w:num>
  <w:num w:numId="4">
    <w:abstractNumId w:val="3"/>
  </w:num>
  <w:num w:numId="5">
    <w:abstractNumId w:val="2"/>
  </w:num>
  <w:num w:numId="6">
    <w:abstractNumId w:val="5"/>
  </w:num>
  <w:num w:numId="7">
    <w:abstractNumId w:val="1"/>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9"/>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F86"/>
    <w:rsid w:val="000039E8"/>
    <w:rsid w:val="000101A9"/>
    <w:rsid w:val="00036A58"/>
    <w:rsid w:val="000A3028"/>
    <w:rsid w:val="000B03DD"/>
    <w:rsid w:val="000C4A93"/>
    <w:rsid w:val="000E3B09"/>
    <w:rsid w:val="00147860"/>
    <w:rsid w:val="00157119"/>
    <w:rsid w:val="00182AA1"/>
    <w:rsid w:val="00182C61"/>
    <w:rsid w:val="001E405D"/>
    <w:rsid w:val="002120F9"/>
    <w:rsid w:val="002363BA"/>
    <w:rsid w:val="00257A46"/>
    <w:rsid w:val="0027096F"/>
    <w:rsid w:val="00287711"/>
    <w:rsid w:val="002E0AD7"/>
    <w:rsid w:val="003149BC"/>
    <w:rsid w:val="00332665"/>
    <w:rsid w:val="00340B17"/>
    <w:rsid w:val="00386686"/>
    <w:rsid w:val="003A3291"/>
    <w:rsid w:val="003A6F4F"/>
    <w:rsid w:val="00477994"/>
    <w:rsid w:val="004A0A12"/>
    <w:rsid w:val="004A39B7"/>
    <w:rsid w:val="004B5E57"/>
    <w:rsid w:val="00504993"/>
    <w:rsid w:val="00521FF4"/>
    <w:rsid w:val="00533A71"/>
    <w:rsid w:val="005600D1"/>
    <w:rsid w:val="005A3779"/>
    <w:rsid w:val="005C1E3D"/>
    <w:rsid w:val="005D27FD"/>
    <w:rsid w:val="00631A26"/>
    <w:rsid w:val="00690165"/>
    <w:rsid w:val="006F3839"/>
    <w:rsid w:val="00726125"/>
    <w:rsid w:val="007479F6"/>
    <w:rsid w:val="007736A2"/>
    <w:rsid w:val="007A204D"/>
    <w:rsid w:val="008C5ACE"/>
    <w:rsid w:val="00907600"/>
    <w:rsid w:val="009206C6"/>
    <w:rsid w:val="009255E4"/>
    <w:rsid w:val="00977765"/>
    <w:rsid w:val="00996BE7"/>
    <w:rsid w:val="009A6ABC"/>
    <w:rsid w:val="009B420D"/>
    <w:rsid w:val="009C18AE"/>
    <w:rsid w:val="009D2307"/>
    <w:rsid w:val="00A21796"/>
    <w:rsid w:val="00A35779"/>
    <w:rsid w:val="00A72F51"/>
    <w:rsid w:val="00B05FC9"/>
    <w:rsid w:val="00C62D4C"/>
    <w:rsid w:val="00C84F86"/>
    <w:rsid w:val="00C92DD9"/>
    <w:rsid w:val="00CA0353"/>
    <w:rsid w:val="00CE77D4"/>
    <w:rsid w:val="00D252CF"/>
    <w:rsid w:val="00D3247A"/>
    <w:rsid w:val="00D54218"/>
    <w:rsid w:val="00D67911"/>
    <w:rsid w:val="00E30F1B"/>
    <w:rsid w:val="00E824E7"/>
    <w:rsid w:val="00ED5980"/>
    <w:rsid w:val="00EE643B"/>
    <w:rsid w:val="00F4312B"/>
    <w:rsid w:val="00F54D41"/>
    <w:rsid w:val="00FE40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2942A76"/>
  <w15:docId w15:val="{59BA8CAA-D25B-40B8-9719-B17BB4EF6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Ari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itre1">
    <w:name w:val="heading 1"/>
    <w:basedOn w:val="Standard"/>
    <w:next w:val="Standard"/>
    <w:pPr>
      <w:keepNext/>
      <w:jc w:val="right"/>
      <w:outlineLvl w:val="0"/>
    </w:pPr>
    <w:rPr>
      <w:rFonts w:ascii="Arial Narrow" w:eastAsia="Arial Narrow" w:hAnsi="Arial Narrow" w:cs="Arial Narrow"/>
      <w:b/>
      <w:sz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rPr>
      <w:rFonts w:ascii="Arial" w:eastAsia="DejaVu Sans" w:hAnsi="Arial" w:cs="DejaVu Sans"/>
      <w:sz w:val="20"/>
    </w:rPr>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sz w:val="24"/>
    </w:rPr>
  </w:style>
  <w:style w:type="paragraph" w:customStyle="1" w:styleId="Index">
    <w:name w:val="Index"/>
    <w:basedOn w:val="Standard"/>
    <w:pPr>
      <w:suppressLineNumbers/>
    </w:pPr>
  </w:style>
  <w:style w:type="paragraph" w:styleId="En-tte">
    <w:name w:val="header"/>
    <w:basedOn w:val="Standard"/>
    <w:pPr>
      <w:suppressLineNumbers/>
      <w:tabs>
        <w:tab w:val="center" w:pos="4818"/>
        <w:tab w:val="right" w:pos="9637"/>
      </w:tabs>
    </w:pPr>
  </w:style>
  <w:style w:type="paragraph" w:customStyle="1" w:styleId="Framecontents">
    <w:name w:val="Frame contents"/>
    <w:basedOn w:val="Textbody"/>
    <w:rPr>
      <w:rFonts w:eastAsia="Arial" w:cs="Arial"/>
    </w:rPr>
  </w:style>
  <w:style w:type="paragraph" w:styleId="Pieddepage">
    <w:name w:val="footer"/>
    <w:basedOn w:val="Standard"/>
    <w:link w:val="PieddepageCar"/>
    <w:uiPriority w:val="99"/>
    <w:pPr>
      <w:suppressLineNumbers/>
      <w:tabs>
        <w:tab w:val="center" w:pos="4819"/>
        <w:tab w:val="right" w:pos="9638"/>
      </w:tabs>
    </w:p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IndexLink">
    <w:name w:val="Index Link"/>
  </w:style>
  <w:style w:type="character" w:customStyle="1" w:styleId="Linenumbering">
    <w:name w:val="Line numbering"/>
  </w:style>
  <w:style w:type="paragraph" w:customStyle="1" w:styleId="western">
    <w:name w:val="western"/>
    <w:basedOn w:val="Normal"/>
    <w:pPr>
      <w:widowControl/>
      <w:suppressAutoHyphens w:val="0"/>
      <w:spacing w:before="100" w:after="119"/>
      <w:textAlignment w:val="auto"/>
    </w:pPr>
    <w:rPr>
      <w:rFonts w:ascii="Arial" w:eastAsia="Times New Roman" w:hAnsi="Arial"/>
      <w:color w:val="000000"/>
      <w:kern w:val="0"/>
      <w:sz w:val="20"/>
      <w:szCs w:val="20"/>
      <w:lang w:eastAsia="fr-FR" w:bidi="ar-SA"/>
    </w:rPr>
  </w:style>
  <w:style w:type="numbering" w:customStyle="1" w:styleId="WW8Num1">
    <w:name w:val="WW8Num1"/>
    <w:basedOn w:val="Aucuneliste"/>
    <w:pPr>
      <w:numPr>
        <w:numId w:val="1"/>
      </w:numPr>
    </w:pPr>
  </w:style>
  <w:style w:type="paragraph" w:styleId="NormalWeb">
    <w:name w:val="Normal (Web)"/>
    <w:basedOn w:val="Normal"/>
    <w:uiPriority w:val="99"/>
    <w:semiHidden/>
    <w:unhideWhenUsed/>
    <w:rsid w:val="00386686"/>
    <w:pPr>
      <w:widowControl/>
      <w:suppressAutoHyphens w:val="0"/>
      <w:autoSpaceDN/>
      <w:spacing w:before="100" w:beforeAutospacing="1" w:line="278" w:lineRule="atLeast"/>
      <w:jc w:val="both"/>
      <w:textAlignment w:val="auto"/>
    </w:pPr>
    <w:rPr>
      <w:rFonts w:eastAsia="Times New Roman" w:cs="Times New Roman"/>
      <w:color w:val="000000"/>
      <w:kern w:val="0"/>
      <w:lang w:eastAsia="fr-FR" w:bidi="ar-SA"/>
    </w:rPr>
  </w:style>
  <w:style w:type="paragraph" w:styleId="Paragraphedeliste">
    <w:name w:val="List Paragraph"/>
    <w:basedOn w:val="Normal"/>
    <w:uiPriority w:val="34"/>
    <w:qFormat/>
    <w:rsid w:val="003A6F4F"/>
    <w:pPr>
      <w:ind w:left="720"/>
      <w:contextualSpacing/>
    </w:pPr>
    <w:rPr>
      <w:rFonts w:cs="Mangal"/>
      <w:szCs w:val="21"/>
    </w:rPr>
  </w:style>
  <w:style w:type="paragraph" w:customStyle="1" w:styleId="Default">
    <w:name w:val="Default"/>
    <w:rsid w:val="00257A46"/>
    <w:pPr>
      <w:widowControl/>
      <w:autoSpaceDE w:val="0"/>
      <w:adjustRightInd w:val="0"/>
      <w:textAlignment w:val="auto"/>
    </w:pPr>
    <w:rPr>
      <w:rFonts w:ascii="Arial" w:hAnsi="Arial"/>
      <w:color w:val="000000"/>
      <w:kern w:val="0"/>
      <w:lang w:bidi="ar-SA"/>
    </w:rPr>
  </w:style>
  <w:style w:type="character" w:customStyle="1" w:styleId="PieddepageCar">
    <w:name w:val="Pied de page Car"/>
    <w:basedOn w:val="Policepardfaut"/>
    <w:link w:val="Pieddepage"/>
    <w:uiPriority w:val="99"/>
    <w:rsid w:val="002E0AD7"/>
    <w:rPr>
      <w:rFonts w:ascii="Arial" w:eastAsia="DejaVu Sans" w:hAnsi="Arial" w:cs="DejaVu Sans"/>
      <w:sz w:val="20"/>
    </w:rPr>
  </w:style>
  <w:style w:type="paragraph" w:styleId="Textedebulles">
    <w:name w:val="Balloon Text"/>
    <w:basedOn w:val="Normal"/>
    <w:link w:val="TextedebullesCar"/>
    <w:uiPriority w:val="99"/>
    <w:semiHidden/>
    <w:unhideWhenUsed/>
    <w:rsid w:val="000C4A93"/>
    <w:rPr>
      <w:rFonts w:ascii="Segoe UI" w:hAnsi="Segoe UI" w:cs="Mangal"/>
      <w:sz w:val="18"/>
      <w:szCs w:val="16"/>
    </w:rPr>
  </w:style>
  <w:style w:type="character" w:customStyle="1" w:styleId="TextedebullesCar">
    <w:name w:val="Texte de bulles Car"/>
    <w:basedOn w:val="Policepardfaut"/>
    <w:link w:val="Textedebulles"/>
    <w:uiPriority w:val="99"/>
    <w:semiHidden/>
    <w:rsid w:val="000C4A93"/>
    <w:rPr>
      <w:rFonts w:ascii="Segoe UI" w:hAnsi="Segoe UI" w:cs="Mangal"/>
      <w:sz w:val="18"/>
      <w:szCs w:val="16"/>
    </w:rPr>
  </w:style>
  <w:style w:type="paragraph" w:customStyle="1" w:styleId="titreannexe">
    <w:name w:val="titreannexe"/>
    <w:basedOn w:val="Normal"/>
    <w:rsid w:val="00631A26"/>
    <w:pPr>
      <w:widowControl/>
      <w:suppressAutoHyphens w:val="0"/>
      <w:autoSpaceDN/>
      <w:spacing w:before="100" w:beforeAutospacing="1" w:after="100" w:afterAutospacing="1"/>
      <w:textAlignment w:val="auto"/>
    </w:pPr>
    <w:rPr>
      <w:rFonts w:eastAsia="Times New Roman" w:cs="Times New Roman"/>
      <w:kern w:val="0"/>
      <w:lang w:eastAsia="fr-FR" w:bidi="ar-SA"/>
    </w:rPr>
  </w:style>
  <w:style w:type="paragraph" w:customStyle="1" w:styleId="stitre1">
    <w:name w:val="stitre1"/>
    <w:basedOn w:val="Normal"/>
    <w:rsid w:val="00631A26"/>
    <w:pPr>
      <w:widowControl/>
      <w:suppressAutoHyphens w:val="0"/>
      <w:autoSpaceDN/>
      <w:spacing w:before="100" w:beforeAutospacing="1" w:after="100" w:afterAutospacing="1"/>
      <w:textAlignment w:val="auto"/>
    </w:pPr>
    <w:rPr>
      <w:rFonts w:eastAsia="Times New Roman" w:cs="Times New Roman"/>
      <w:kern w:val="0"/>
      <w:lang w:eastAsia="fr-FR" w:bidi="ar-SA"/>
    </w:rPr>
  </w:style>
  <w:style w:type="character" w:styleId="lev">
    <w:name w:val="Strong"/>
    <w:basedOn w:val="Policepardfaut"/>
    <w:uiPriority w:val="22"/>
    <w:qFormat/>
    <w:rsid w:val="00631A26"/>
    <w:rPr>
      <w:b/>
      <w:bCs/>
    </w:rPr>
  </w:style>
  <w:style w:type="paragraph" w:customStyle="1" w:styleId="stitre2">
    <w:name w:val="stitre2"/>
    <w:basedOn w:val="Normal"/>
    <w:rsid w:val="00631A26"/>
    <w:pPr>
      <w:widowControl/>
      <w:suppressAutoHyphens w:val="0"/>
      <w:autoSpaceDN/>
      <w:spacing w:before="100" w:beforeAutospacing="1" w:after="100" w:afterAutospacing="1"/>
      <w:textAlignment w:val="auto"/>
    </w:pPr>
    <w:rPr>
      <w:rFonts w:eastAsia="Times New Roman" w:cs="Times New Roman"/>
      <w:kern w:val="0"/>
      <w:lang w:eastAsia="fr-FR" w:bidi="ar-SA"/>
    </w:rPr>
  </w:style>
  <w:style w:type="character" w:customStyle="1" w:styleId="renvoi">
    <w:name w:val="renvoi"/>
    <w:basedOn w:val="Policepardfaut"/>
    <w:rsid w:val="00631A26"/>
  </w:style>
  <w:style w:type="character" w:styleId="Lienhypertexte">
    <w:name w:val="Hyperlink"/>
    <w:basedOn w:val="Policepardfaut"/>
    <w:uiPriority w:val="99"/>
    <w:semiHidden/>
    <w:unhideWhenUsed/>
    <w:rsid w:val="00EE64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21954">
      <w:bodyDiv w:val="1"/>
      <w:marLeft w:val="0"/>
      <w:marRight w:val="0"/>
      <w:marTop w:val="0"/>
      <w:marBottom w:val="0"/>
      <w:divBdr>
        <w:top w:val="none" w:sz="0" w:space="0" w:color="auto"/>
        <w:left w:val="none" w:sz="0" w:space="0" w:color="auto"/>
        <w:bottom w:val="none" w:sz="0" w:space="0" w:color="auto"/>
        <w:right w:val="none" w:sz="0" w:space="0" w:color="auto"/>
      </w:divBdr>
    </w:div>
    <w:div w:id="308096653">
      <w:bodyDiv w:val="1"/>
      <w:marLeft w:val="0"/>
      <w:marRight w:val="0"/>
      <w:marTop w:val="0"/>
      <w:marBottom w:val="0"/>
      <w:divBdr>
        <w:top w:val="none" w:sz="0" w:space="0" w:color="auto"/>
        <w:left w:val="none" w:sz="0" w:space="0" w:color="auto"/>
        <w:bottom w:val="none" w:sz="0" w:space="0" w:color="auto"/>
        <w:right w:val="none" w:sz="0" w:space="0" w:color="auto"/>
      </w:divBdr>
    </w:div>
    <w:div w:id="488863626">
      <w:bodyDiv w:val="1"/>
      <w:marLeft w:val="0"/>
      <w:marRight w:val="0"/>
      <w:marTop w:val="0"/>
      <w:marBottom w:val="0"/>
      <w:divBdr>
        <w:top w:val="none" w:sz="0" w:space="0" w:color="auto"/>
        <w:left w:val="none" w:sz="0" w:space="0" w:color="auto"/>
        <w:bottom w:val="none" w:sz="0" w:space="0" w:color="auto"/>
        <w:right w:val="none" w:sz="0" w:space="0" w:color="auto"/>
      </w:divBdr>
    </w:div>
    <w:div w:id="539391866">
      <w:bodyDiv w:val="1"/>
      <w:marLeft w:val="0"/>
      <w:marRight w:val="0"/>
      <w:marTop w:val="0"/>
      <w:marBottom w:val="0"/>
      <w:divBdr>
        <w:top w:val="none" w:sz="0" w:space="0" w:color="auto"/>
        <w:left w:val="none" w:sz="0" w:space="0" w:color="auto"/>
        <w:bottom w:val="none" w:sz="0" w:space="0" w:color="auto"/>
        <w:right w:val="none" w:sz="0" w:space="0" w:color="auto"/>
      </w:divBdr>
    </w:div>
    <w:div w:id="999622284">
      <w:bodyDiv w:val="1"/>
      <w:marLeft w:val="0"/>
      <w:marRight w:val="0"/>
      <w:marTop w:val="0"/>
      <w:marBottom w:val="0"/>
      <w:divBdr>
        <w:top w:val="none" w:sz="0" w:space="0" w:color="auto"/>
        <w:left w:val="none" w:sz="0" w:space="0" w:color="auto"/>
        <w:bottom w:val="none" w:sz="0" w:space="0" w:color="auto"/>
        <w:right w:val="none" w:sz="0" w:space="0" w:color="auto"/>
      </w:divBdr>
    </w:div>
    <w:div w:id="1017662438">
      <w:bodyDiv w:val="1"/>
      <w:marLeft w:val="0"/>
      <w:marRight w:val="0"/>
      <w:marTop w:val="0"/>
      <w:marBottom w:val="0"/>
      <w:divBdr>
        <w:top w:val="none" w:sz="0" w:space="0" w:color="auto"/>
        <w:left w:val="none" w:sz="0" w:space="0" w:color="auto"/>
        <w:bottom w:val="none" w:sz="0" w:space="0" w:color="auto"/>
        <w:right w:val="none" w:sz="0" w:space="0" w:color="auto"/>
      </w:divBdr>
    </w:div>
    <w:div w:id="1162235590">
      <w:bodyDiv w:val="1"/>
      <w:marLeft w:val="0"/>
      <w:marRight w:val="0"/>
      <w:marTop w:val="0"/>
      <w:marBottom w:val="0"/>
      <w:divBdr>
        <w:top w:val="none" w:sz="0" w:space="0" w:color="auto"/>
        <w:left w:val="none" w:sz="0" w:space="0" w:color="auto"/>
        <w:bottom w:val="none" w:sz="0" w:space="0" w:color="auto"/>
        <w:right w:val="none" w:sz="0" w:space="0" w:color="auto"/>
      </w:divBdr>
    </w:div>
    <w:div w:id="1604679677">
      <w:bodyDiv w:val="1"/>
      <w:marLeft w:val="0"/>
      <w:marRight w:val="0"/>
      <w:marTop w:val="0"/>
      <w:marBottom w:val="0"/>
      <w:divBdr>
        <w:top w:val="none" w:sz="0" w:space="0" w:color="auto"/>
        <w:left w:val="none" w:sz="0" w:space="0" w:color="auto"/>
        <w:bottom w:val="none" w:sz="0" w:space="0" w:color="auto"/>
        <w:right w:val="none" w:sz="0" w:space="0" w:color="auto"/>
      </w:divBdr>
    </w:div>
    <w:div w:id="1992709456">
      <w:bodyDiv w:val="1"/>
      <w:marLeft w:val="0"/>
      <w:marRight w:val="0"/>
      <w:marTop w:val="0"/>
      <w:marBottom w:val="0"/>
      <w:divBdr>
        <w:top w:val="none" w:sz="0" w:space="0" w:color="auto"/>
        <w:left w:val="none" w:sz="0" w:space="0" w:color="auto"/>
        <w:bottom w:val="none" w:sz="0" w:space="0" w:color="auto"/>
        <w:right w:val="none" w:sz="0" w:space="0" w:color="auto"/>
      </w:divBdr>
    </w:div>
    <w:div w:id="2073191988">
      <w:bodyDiv w:val="1"/>
      <w:marLeft w:val="0"/>
      <w:marRight w:val="0"/>
      <w:marTop w:val="0"/>
      <w:marBottom w:val="0"/>
      <w:divBdr>
        <w:top w:val="none" w:sz="0" w:space="0" w:color="auto"/>
        <w:left w:val="none" w:sz="0" w:space="0" w:color="auto"/>
        <w:bottom w:val="none" w:sz="0" w:space="0" w:color="auto"/>
        <w:right w:val="none" w:sz="0" w:space="0" w:color="auto"/>
      </w:divBdr>
    </w:div>
    <w:div w:id="2130738159">
      <w:bodyDiv w:val="1"/>
      <w:marLeft w:val="0"/>
      <w:marRight w:val="0"/>
      <w:marTop w:val="0"/>
      <w:marBottom w:val="0"/>
      <w:divBdr>
        <w:top w:val="none" w:sz="0" w:space="0" w:color="auto"/>
        <w:left w:val="none" w:sz="0" w:space="0" w:color="auto"/>
        <w:bottom w:val="none" w:sz="0" w:space="0" w:color="auto"/>
        <w:right w:val="none" w:sz="0" w:space="0" w:color="auto"/>
      </w:divBdr>
    </w:div>
    <w:div w:id="2137794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8</Pages>
  <Words>4516</Words>
  <Characters>24839</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Courrier signature Mr MILVILLE</vt:lpstr>
    </vt:vector>
  </TitlesOfParts>
  <Company>Education Nationale</Company>
  <LinksUpToDate>false</LinksUpToDate>
  <CharactersWithSpaces>29297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Courrier signature Mr MILVILLE</dc:title>
  <dc:creator>lthomas</dc:creator>
  <cp:lastModifiedBy>lthomas7</cp:lastModifiedBy>
  <cp:revision>27</cp:revision>
  <cp:lastPrinted>2019-11-14T16:18:00Z</cp:lastPrinted>
  <dcterms:created xsi:type="dcterms:W3CDTF">2018-09-13T14:25:00Z</dcterms:created>
  <dcterms:modified xsi:type="dcterms:W3CDTF">2019-11-15T14:05:00Z</dcterms:modified>
</cp:coreProperties>
</file>