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33" w:rsidRPr="00017C33" w:rsidRDefault="00017C33" w:rsidP="0001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17C33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Pétition UNSA Education pour un mouvement transparent et équitable!</w:t>
      </w:r>
    </w:p>
    <w:p w:rsidR="000325A7" w:rsidRDefault="000325A7" w:rsidP="00017C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7C33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Avec la loi Fonction publique du 6 août, l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es CAPD et CAPA ne seront plus réunies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traiter des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opérations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mouvement.</w:t>
      </w:r>
    </w:p>
    <w:p w:rsidR="00017C33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sz w:val="24"/>
          <w:szCs w:val="24"/>
          <w:lang w:eastAsia="fr-FR"/>
        </w:rPr>
        <w:t>e ministère a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décidé de ne plus permettre aux délégués syndicaux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représentatifs</w:t>
      </w:r>
      <w:r w:rsidR="000325A7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puisque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élus</w:t>
      </w:r>
      <w:r w:rsidR="000325A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d’exercer pleinement leurs missions sur un des sujets auxquels les personnels sont le plus attachés: les affectations (En 2021, ce sera également sur l’avancement et les promotions Hors Classe et classe exceptionnelle). </w:t>
      </w:r>
    </w:p>
    <w:p w:rsidR="000325A7" w:rsidRDefault="000325A7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Ces élus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estim</w:t>
      </w:r>
      <w:r>
        <w:rPr>
          <w:rFonts w:ascii="Arial" w:eastAsia="Times New Roman" w:hAnsi="Arial" w:cs="Arial"/>
          <w:sz w:val="24"/>
          <w:szCs w:val="24"/>
          <w:lang w:eastAsia="fr-FR"/>
        </w:rPr>
        <w:t>ent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être «empêchés» dans </w:t>
      </w:r>
      <w:r>
        <w:rPr>
          <w:rFonts w:ascii="Arial" w:eastAsia="Times New Roman" w:hAnsi="Arial" w:cs="Arial"/>
          <w:sz w:val="24"/>
          <w:szCs w:val="24"/>
          <w:lang w:eastAsia="fr-FR"/>
        </w:rPr>
        <w:t>leur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>s missions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 xml:space="preserve"> la défiance du ministère est incompréhensible car nous avons toujours œuvrer dans l’intérêt des personnels et du service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17C33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Les représentants des personnels ne seront plus consultés sur les règles de mutation, et ne seront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donc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plus destinataires des documents permettant d’avoir un regard sur la transparence des opérations.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Sans contrôle des délégués du personnel, sans contrepoids syndical des affectations aux mouvements des enseignants 1</w:t>
      </w:r>
      <w:r w:rsidRPr="00017C33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et 2</w:t>
      </w:r>
      <w:r w:rsidRPr="00017C33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nd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degré, CPE, Psy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EN, agents administratifs,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personnels de santé ou sociaux,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techniciens de labo,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les conditions de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l’arbitraire et l’opacité seront </w:t>
      </w:r>
      <w:r>
        <w:rPr>
          <w:rFonts w:ascii="Arial" w:eastAsia="Times New Roman" w:hAnsi="Arial" w:cs="Arial"/>
          <w:sz w:val="24"/>
          <w:szCs w:val="24"/>
          <w:lang w:eastAsia="fr-FR"/>
        </w:rPr>
        <w:t>réunies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0325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0325A7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Les postes à profil attribués hors barème 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multiplient.</w:t>
      </w:r>
      <w:r w:rsidR="000325A7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défiance des personnels</w:t>
      </w:r>
      <w:r w:rsidR="000325A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sera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forte alors que la confiance envers l’administration de tutelle est nécessaire. </w:t>
      </w:r>
    </w:p>
    <w:p w:rsidR="000325A7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s craintes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certain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es affectations se f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asse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nt hors de toute règle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 xml:space="preserve">car sans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contrôle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 xml:space="preserve"> syndical, sont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fort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02E74">
        <w:rPr>
          <w:rFonts w:ascii="Arial" w:eastAsia="Times New Roman" w:hAnsi="Arial" w:cs="Arial"/>
          <w:sz w:val="24"/>
          <w:szCs w:val="24"/>
          <w:lang w:eastAsia="fr-FR"/>
        </w:rPr>
        <w:t xml:space="preserve"> Nous ne remettons pas en cause les valeurs ou le professionnalisme de l’administration mais nous savons qu’ils peuvent être sujets à diverses pressions (politiques ou autres).</w:t>
      </w:r>
    </w:p>
    <w:p w:rsidR="00C02E74" w:rsidRDefault="00C02E74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6EE0" w:rsidRDefault="00B76EE0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 xml:space="preserve">Il est essentiel de revenir aux dispositions </w:t>
      </w:r>
      <w:r w:rsidR="000325A7">
        <w:rPr>
          <w:rFonts w:ascii="Arial" w:eastAsia="Times New Roman" w:hAnsi="Arial" w:cs="Arial"/>
          <w:sz w:val="24"/>
          <w:szCs w:val="24"/>
          <w:lang w:eastAsia="fr-FR"/>
        </w:rPr>
        <w:t>antérieures</w:t>
      </w:r>
      <w:r w:rsidR="00017C33" w:rsidRPr="00017C33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02E74" w:rsidRDefault="00C02E74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6EE0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-Pour permettre de défendre correctement les personnels,</w:t>
      </w:r>
    </w:p>
    <w:p w:rsidR="00B76EE0" w:rsidRDefault="00017C33" w:rsidP="00032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-Pour que</w:t>
      </w:r>
      <w:r w:rsidR="00B76EE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l’institution</w:t>
      </w:r>
      <w:r w:rsidR="00B76EE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soit</w:t>
      </w:r>
      <w:r w:rsidR="00B76EE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nourrie de</w:t>
      </w:r>
      <w:r w:rsidR="00B76EE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nos retours constructifs, dans l’intérêt de tous.</w:t>
      </w:r>
      <w:r w:rsidR="00B76EE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76EE0" w:rsidRDefault="00B76EE0" w:rsidP="00017C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6EE0" w:rsidRPr="002870F4" w:rsidRDefault="00017C33" w:rsidP="002870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</w:pPr>
      <w:r w:rsidRPr="00017C33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Signez et faites signer la pétition!</w:t>
      </w:r>
    </w:p>
    <w:p w:rsidR="00B76EE0" w:rsidRDefault="00017C33" w:rsidP="00017C3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017C33">
        <w:rPr>
          <w:rFonts w:ascii="Arial" w:eastAsia="Times New Roman" w:hAnsi="Arial" w:cs="Arial"/>
          <w:sz w:val="40"/>
          <w:szCs w:val="40"/>
          <w:lang w:eastAsia="fr-FR"/>
        </w:rPr>
        <w:t xml:space="preserve">NON </w:t>
      </w:r>
      <w:r w:rsidR="00B76EE0">
        <w:rPr>
          <w:rFonts w:ascii="Arial" w:eastAsia="Times New Roman" w:hAnsi="Arial" w:cs="Arial"/>
          <w:sz w:val="40"/>
          <w:szCs w:val="40"/>
          <w:lang w:eastAsia="fr-FR"/>
        </w:rPr>
        <w:t>au risque d’opacité dans les</w:t>
      </w:r>
      <w:r w:rsidRPr="00017C33">
        <w:rPr>
          <w:rFonts w:ascii="Arial" w:eastAsia="Times New Roman" w:hAnsi="Arial" w:cs="Arial"/>
          <w:sz w:val="40"/>
          <w:szCs w:val="40"/>
          <w:lang w:eastAsia="fr-FR"/>
        </w:rPr>
        <w:t xml:space="preserve"> mutations!</w:t>
      </w:r>
    </w:p>
    <w:p w:rsidR="00B76EE0" w:rsidRPr="00C02E74" w:rsidRDefault="00017C33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En signant cette pétition</w:t>
      </w:r>
      <w:r w:rsidR="00B76EE0" w:rsidRPr="00C02E7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2870F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76EE0" w:rsidRPr="00C02E74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e demande le retour à un contrôle des opérations de mutations par nos représentants du personnel</w:t>
      </w:r>
      <w:r w:rsidR="002870F4">
        <w:rPr>
          <w:rFonts w:ascii="Arial" w:eastAsia="Times New Roman" w:hAnsi="Arial" w:cs="Arial"/>
          <w:sz w:val="24"/>
          <w:szCs w:val="24"/>
          <w:lang w:eastAsia="fr-FR"/>
        </w:rPr>
        <w:t xml:space="preserve"> élus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B76EE0" w:rsidRPr="00C02E74" w:rsidRDefault="00017C33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Je demande donc que l’administration fournisse aux délégués des personnels, les documents habituels, nécessaires au suivi individuel et collectif.</w:t>
      </w:r>
    </w:p>
    <w:p w:rsidR="00B76EE0" w:rsidRDefault="00017C33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17C33">
        <w:rPr>
          <w:rFonts w:ascii="Arial" w:eastAsia="Times New Roman" w:hAnsi="Arial" w:cs="Arial"/>
          <w:sz w:val="24"/>
          <w:szCs w:val="24"/>
          <w:lang w:eastAsia="fr-FR"/>
        </w:rPr>
        <w:t>Je demande à l’UNSA Education</w:t>
      </w:r>
      <w:r w:rsidR="00B76EE0" w:rsidRPr="00C02E7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17C33">
        <w:rPr>
          <w:rFonts w:ascii="Arial" w:eastAsia="Times New Roman" w:hAnsi="Arial" w:cs="Arial"/>
          <w:sz w:val="24"/>
          <w:szCs w:val="24"/>
          <w:lang w:eastAsia="fr-FR"/>
        </w:rPr>
        <w:t>d'agir pour que le mouvement reste au bénéfice des personnels et ne soit pas un mouvement subi.</w:t>
      </w:r>
    </w:p>
    <w:p w:rsidR="002870F4" w:rsidRDefault="002870F4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562"/>
        <w:gridCol w:w="1659"/>
        <w:gridCol w:w="2778"/>
        <w:gridCol w:w="1611"/>
      </w:tblGrid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</w:t>
            </w: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Profession</w:t>
            </w: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Lieu d’exercice /département</w:t>
            </w: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signature</w:t>
            </w: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870F4" w:rsidTr="002870F4">
        <w:tc>
          <w:tcPr>
            <w:tcW w:w="145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11" w:type="dxa"/>
          </w:tcPr>
          <w:p w:rsidR="002870F4" w:rsidRDefault="002870F4" w:rsidP="002870F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02E74" w:rsidRDefault="002870F4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Merci de retourner cette pétition à l’Unsa Education, 4 rue Alfred Mézières 54530 Nancy ou par scan à : </w:t>
      </w:r>
      <w:hyperlink r:id="rId4" w:history="1">
        <w:r w:rsidRPr="008F4496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nancy-metz@</w:t>
        </w:r>
        <w:bookmarkStart w:id="0" w:name="_GoBack"/>
        <w:bookmarkEnd w:id="0"/>
        <w:r w:rsidRPr="008F4496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unsa-education.org</w:t>
        </w:r>
      </w:hyperlink>
    </w:p>
    <w:p w:rsidR="002870F4" w:rsidRPr="00C02E74" w:rsidRDefault="002870F4" w:rsidP="00287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2870F4" w:rsidRPr="00C0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3"/>
    <w:rsid w:val="00017C33"/>
    <w:rsid w:val="000325A7"/>
    <w:rsid w:val="002870F4"/>
    <w:rsid w:val="00B76EE0"/>
    <w:rsid w:val="00BB267C"/>
    <w:rsid w:val="00C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6C9"/>
  <w15:chartTrackingRefBased/>
  <w15:docId w15:val="{9FCBE6B6-AD69-40B3-AA7B-4283BB0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0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-metz@unsa-educ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seunsa54</dc:creator>
  <cp:keywords/>
  <dc:description/>
  <cp:lastModifiedBy>magali seunsa54</cp:lastModifiedBy>
  <cp:revision>2</cp:revision>
  <dcterms:created xsi:type="dcterms:W3CDTF">2020-02-24T17:36:00Z</dcterms:created>
  <dcterms:modified xsi:type="dcterms:W3CDTF">2020-02-24T18:12:00Z</dcterms:modified>
</cp:coreProperties>
</file>