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0C2AD" w14:textId="2301BB85" w:rsidR="00EA0AE1" w:rsidRDefault="00F853F6">
      <w:r w:rsidRPr="00F853F6">
        <w:rPr>
          <w:b/>
          <w:bCs/>
          <w:noProof/>
          <w:sz w:val="28"/>
          <w:szCs w:val="28"/>
        </w:rPr>
        <mc:AlternateContent>
          <mc:Choice Requires="wpg">
            <w:drawing>
              <wp:anchor distT="45720" distB="45720" distL="182880" distR="182880" simplePos="0" relativeHeight="251659264" behindDoc="0" locked="0" layoutInCell="1" allowOverlap="1" wp14:anchorId="7C84D653" wp14:editId="6D5DBDF4">
                <wp:simplePos x="0" y="0"/>
                <wp:positionH relativeFrom="margin">
                  <wp:posOffset>601980</wp:posOffset>
                </wp:positionH>
                <wp:positionV relativeFrom="margin">
                  <wp:posOffset>998855</wp:posOffset>
                </wp:positionV>
                <wp:extent cx="2369820" cy="487680"/>
                <wp:effectExtent l="0" t="0" r="0" b="7620"/>
                <wp:wrapSquare wrapText="bothSides"/>
                <wp:docPr id="198" name="Groupe 198"/>
                <wp:cNvGraphicFramePr/>
                <a:graphic xmlns:a="http://schemas.openxmlformats.org/drawingml/2006/main">
                  <a:graphicData uri="http://schemas.microsoft.com/office/word/2010/wordprocessingGroup">
                    <wpg:wgp>
                      <wpg:cNvGrpSpPr/>
                      <wpg:grpSpPr>
                        <a:xfrm>
                          <a:off x="0" y="0"/>
                          <a:ext cx="2369820" cy="487680"/>
                          <a:chOff x="0" y="0"/>
                          <a:chExt cx="3567448" cy="686300"/>
                        </a:xfrm>
                      </wpg:grpSpPr>
                      <wps:wsp>
                        <wps:cNvPr id="199" name="Rectangle 199"/>
                        <wps:cNvSpPr/>
                        <wps:spPr>
                          <a:xfrm>
                            <a:off x="0" y="0"/>
                            <a:ext cx="3567448" cy="270605"/>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A69A3B" w14:textId="77777777" w:rsidR="00F853F6" w:rsidRDefault="00F853F6">
                              <w:pPr>
                                <w:jc w:val="center"/>
                                <w:rPr>
                                  <w:rFonts w:asciiTheme="majorHAnsi" w:eastAsiaTheme="majorEastAsia" w:hAnsiTheme="majorHAnsi" w:cstheme="majorBidi"/>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Zone de texte 200"/>
                        <wps:cNvSpPr txBox="1"/>
                        <wps:spPr>
                          <a:xfrm>
                            <a:off x="0" y="252686"/>
                            <a:ext cx="3567448" cy="43361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77AD04" w14:textId="059423B7" w:rsidR="00F853F6" w:rsidRDefault="00F853F6" w:rsidP="00F853F6">
                              <w:pPr>
                                <w:jc w:val="center"/>
                                <w:rPr>
                                  <w:caps/>
                                  <w:color w:val="4472C4" w:themeColor="accent1"/>
                                  <w:sz w:val="26"/>
                                  <w:szCs w:val="26"/>
                                </w:rPr>
                              </w:pPr>
                              <w:r>
                                <w:rPr>
                                  <w:b/>
                                  <w:bCs/>
                                  <w:sz w:val="28"/>
                                  <w:szCs w:val="28"/>
                                </w:rPr>
                                <w:t>CAEOC du 12 décembre 2022</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C84D653" id="Groupe 198" o:spid="_x0000_s1026" style="position:absolute;margin-left:47.4pt;margin-top:78.65pt;width:186.6pt;height:38.4pt;z-index:251659264;mso-wrap-distance-left:14.4pt;mso-wrap-distance-top:3.6pt;mso-wrap-distance-right:14.4pt;mso-wrap-distance-bottom:3.6pt;mso-position-horizontal-relative:margin;mso-position-vertical-relative:margin;mso-width-relative:margin;mso-height-relative:margin" coordsize="35674,6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">
                <v:rect id="Rectangle 199" o:spid="_x0000_s1027"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" fillcolor="#00b0f0" stroked="f" strokeweight="1pt">
                  <v:textbox>
                    <w:txbxContent>
                      <w:p w14:paraId="5BA69A3B" w14:textId="77777777" w:rsidR="00F853F6" w:rsidRDefault="00F853F6">
                        <w:pPr>
                          <w:jc w:val="center"/>
                          <w:rPr>
                            <w:rFonts w:asciiTheme="majorHAnsi" w:eastAsiaTheme="majorEastAsia" w:hAnsiTheme="majorHAnsi" w:cstheme="majorBidi"/>
                            <w:color w:val="FFFFFF" w:themeColor="background1"/>
                            <w:sz w:val="24"/>
                            <w:szCs w:val="24"/>
                          </w:rPr>
                        </w:pPr>
                      </w:p>
                    </w:txbxContent>
                  </v:textbox>
                </v:rect>
                <v:shapetype id="_x0000_t202" coordsize="21600,21600" o:spt="202" path="m,l,21600r21600,l21600,xe">
                  <v:stroke joinstyle="miter"/>
                  <v:path gradientshapeok="t" o:connecttype="rect"/>
                </v:shapetype>
                <v:shape id="Zone de texte 200" o:spid="_x0000_s1028" type="#_x0000_t202" style="position:absolute;top:2526;width:35674;height:4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2177AD04" w14:textId="059423B7" w:rsidR="00F853F6" w:rsidRDefault="00F853F6" w:rsidP="00F853F6">
                        <w:pPr>
                          <w:jc w:val="center"/>
                          <w:rPr>
                            <w:caps/>
                            <w:color w:val="4472C4" w:themeColor="accent1"/>
                            <w:sz w:val="26"/>
                            <w:szCs w:val="26"/>
                          </w:rPr>
                        </w:pPr>
                        <w:r>
                          <w:rPr>
                            <w:b/>
                            <w:bCs/>
                            <w:sz w:val="28"/>
                            <w:szCs w:val="28"/>
                          </w:rPr>
                          <w:t>CAEOC du 12 décembre 2022</w:t>
                        </w:r>
                      </w:p>
                    </w:txbxContent>
                  </v:textbox>
                </v:shape>
                <w10:wrap type="square" anchorx="margin" anchory="margin"/>
              </v:group>
            </w:pict>
          </mc:Fallback>
        </mc:AlternateContent>
      </w:r>
      <w:r w:rsidR="00DD3C81">
        <w:rPr>
          <w:noProof/>
        </w:rPr>
        <w:drawing>
          <wp:inline distT="0" distB="0" distL="0" distR="0" wp14:anchorId="22DAF61F" wp14:editId="34F3AD46">
            <wp:extent cx="5760720" cy="684530"/>
            <wp:effectExtent l="0" t="0" r="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684530"/>
                    </a:xfrm>
                    <a:prstGeom prst="rect">
                      <a:avLst/>
                    </a:prstGeom>
                    <a:noFill/>
                    <a:ln>
                      <a:noFill/>
                    </a:ln>
                  </pic:spPr>
                </pic:pic>
              </a:graphicData>
            </a:graphic>
          </wp:inline>
        </w:drawing>
      </w:r>
    </w:p>
    <w:p w14:paraId="1AEBCB25" w14:textId="32386CA5" w:rsidR="00F6338B" w:rsidRDefault="00F853F6" w:rsidP="00F6338B">
      <w:pPr>
        <w:jc w:val="center"/>
        <w:rPr>
          <w:b/>
          <w:bCs/>
          <w:sz w:val="28"/>
          <w:szCs w:val="28"/>
        </w:rPr>
      </w:pPr>
      <w:r>
        <w:rPr>
          <w:b/>
          <w:bCs/>
          <w:sz w:val="28"/>
          <w:szCs w:val="28"/>
        </w:rPr>
        <w:t xml:space="preserve">                                                                    </w:t>
      </w:r>
      <w:r w:rsidR="00F6338B">
        <w:rPr>
          <w:noProof/>
        </w:rPr>
        <w:drawing>
          <wp:inline distT="0" distB="0" distL="0" distR="0" wp14:anchorId="62DD052F" wp14:editId="172CFED9">
            <wp:extent cx="1170542" cy="777240"/>
            <wp:effectExtent l="0" t="0" r="0" b="3810"/>
            <wp:docPr id="2" name="Image 2" descr="Croix occitane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oix occitane — Wikipéd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8862" cy="782764"/>
                    </a:xfrm>
                    <a:prstGeom prst="rect">
                      <a:avLst/>
                    </a:prstGeom>
                    <a:noFill/>
                    <a:ln>
                      <a:noFill/>
                    </a:ln>
                  </pic:spPr>
                </pic:pic>
              </a:graphicData>
            </a:graphic>
          </wp:inline>
        </w:drawing>
      </w:r>
    </w:p>
    <w:p w14:paraId="492D35A1" w14:textId="1D6C7548" w:rsidR="00C809FB" w:rsidRPr="00EF0513" w:rsidRDefault="0048553F" w:rsidP="00F853F6">
      <w:pPr>
        <w:tabs>
          <w:tab w:val="left" w:pos="7740"/>
        </w:tabs>
        <w:rPr>
          <w:sz w:val="26"/>
          <w:szCs w:val="26"/>
        </w:rPr>
      </w:pPr>
      <w:r>
        <w:rPr>
          <w:sz w:val="26"/>
          <w:szCs w:val="26"/>
        </w:rPr>
        <w:br/>
      </w:r>
      <w:r w:rsidR="00F853F6" w:rsidRPr="00EF0513">
        <w:rPr>
          <w:sz w:val="26"/>
          <w:szCs w:val="26"/>
        </w:rPr>
        <w:t>M. le Recteur,</w:t>
      </w:r>
      <w:r w:rsidR="00121E7A">
        <w:rPr>
          <w:sz w:val="26"/>
          <w:szCs w:val="26"/>
        </w:rPr>
        <w:br/>
        <w:t>M</w:t>
      </w:r>
      <w:r w:rsidR="00C809FB" w:rsidRPr="00EF0513">
        <w:rPr>
          <w:sz w:val="26"/>
          <w:szCs w:val="26"/>
        </w:rPr>
        <w:t>mes et Mrs les membres de la CAEOC,</w:t>
      </w:r>
    </w:p>
    <w:p w14:paraId="52C86842" w14:textId="059F5FD9" w:rsidR="00C809FB" w:rsidRPr="00EF0513" w:rsidRDefault="00C809FB" w:rsidP="00DB4847">
      <w:pPr>
        <w:tabs>
          <w:tab w:val="left" w:pos="7740"/>
        </w:tabs>
        <w:contextualSpacing/>
        <w:jc w:val="both"/>
        <w:rPr>
          <w:sz w:val="26"/>
          <w:szCs w:val="26"/>
        </w:rPr>
      </w:pPr>
      <w:r w:rsidRPr="00EF0513">
        <w:rPr>
          <w:sz w:val="26"/>
          <w:szCs w:val="26"/>
        </w:rPr>
        <w:t xml:space="preserve">Nous souhaitons en premier lieu remercier M. L’IA – IPR </w:t>
      </w:r>
      <w:r w:rsidR="00F25C6B" w:rsidRPr="00EF0513">
        <w:rPr>
          <w:sz w:val="26"/>
          <w:szCs w:val="26"/>
        </w:rPr>
        <w:t>pour l’envoi de documents préalables à cette instance. Cela permet de préparer cette commission dans de meilleures circonstances, et</w:t>
      </w:r>
      <w:r w:rsidR="00020637" w:rsidRPr="00EF0513">
        <w:rPr>
          <w:sz w:val="26"/>
          <w:szCs w:val="26"/>
        </w:rPr>
        <w:t xml:space="preserve"> selon nous, </w:t>
      </w:r>
      <w:r w:rsidR="00F25C6B" w:rsidRPr="00EF0513">
        <w:rPr>
          <w:sz w:val="26"/>
          <w:szCs w:val="26"/>
        </w:rPr>
        <w:t xml:space="preserve">lui porte </w:t>
      </w:r>
      <w:r w:rsidR="00020637" w:rsidRPr="00EF0513">
        <w:rPr>
          <w:sz w:val="26"/>
          <w:szCs w:val="26"/>
        </w:rPr>
        <w:t>du crédit.</w:t>
      </w:r>
    </w:p>
    <w:p w14:paraId="4E2CC9EB" w14:textId="274B1E28" w:rsidR="007A5797" w:rsidRPr="00EF0513" w:rsidRDefault="007A5797" w:rsidP="00DB4847">
      <w:pPr>
        <w:tabs>
          <w:tab w:val="left" w:pos="7740"/>
        </w:tabs>
        <w:contextualSpacing/>
        <w:jc w:val="both"/>
        <w:rPr>
          <w:sz w:val="26"/>
          <w:szCs w:val="26"/>
        </w:rPr>
      </w:pPr>
    </w:p>
    <w:p w14:paraId="191AE2AF" w14:textId="43DB347D" w:rsidR="00EF0513" w:rsidRPr="00EF0513" w:rsidRDefault="007A5797" w:rsidP="00DB4847">
      <w:pPr>
        <w:tabs>
          <w:tab w:val="left" w:pos="7740"/>
        </w:tabs>
        <w:contextualSpacing/>
        <w:jc w:val="both"/>
        <w:rPr>
          <w:sz w:val="26"/>
          <w:szCs w:val="26"/>
        </w:rPr>
      </w:pPr>
      <w:r w:rsidRPr="00EF0513">
        <w:rPr>
          <w:sz w:val="26"/>
          <w:szCs w:val="26"/>
        </w:rPr>
        <w:t>A cette occasion, le SE-</w:t>
      </w:r>
      <w:proofErr w:type="spellStart"/>
      <w:r w:rsidRPr="00EF0513">
        <w:rPr>
          <w:sz w:val="26"/>
          <w:szCs w:val="26"/>
        </w:rPr>
        <w:t>Unsa</w:t>
      </w:r>
      <w:proofErr w:type="spellEnd"/>
      <w:r w:rsidRPr="00EF0513">
        <w:rPr>
          <w:sz w:val="26"/>
          <w:szCs w:val="26"/>
        </w:rPr>
        <w:t xml:space="preserve"> souhaite rappeler ici ses mandats concernant les LVR après son dernier congrès national. </w:t>
      </w:r>
      <w:r w:rsidR="002B3246" w:rsidRPr="00EF0513">
        <w:rPr>
          <w:sz w:val="26"/>
          <w:szCs w:val="26"/>
        </w:rPr>
        <w:t xml:space="preserve">Ce sont ceux communiqués à la </w:t>
      </w:r>
      <w:proofErr w:type="spellStart"/>
      <w:r w:rsidR="002B3246" w:rsidRPr="00EF0513">
        <w:rPr>
          <w:sz w:val="26"/>
          <w:szCs w:val="26"/>
        </w:rPr>
        <w:t>Felco</w:t>
      </w:r>
      <w:proofErr w:type="spellEnd"/>
      <w:r w:rsidR="002B3246" w:rsidRPr="00EF0513">
        <w:rPr>
          <w:sz w:val="26"/>
          <w:szCs w:val="26"/>
        </w:rPr>
        <w:t xml:space="preserve"> lorsqu’elle nous a interrogé dernièrement dans la cadre des élections professionnelles. </w:t>
      </w:r>
      <w:r w:rsidR="00EF0513" w:rsidRPr="00EF0513">
        <w:rPr>
          <w:sz w:val="26"/>
          <w:szCs w:val="26"/>
        </w:rPr>
        <w:t xml:space="preserve">Le SE </w:t>
      </w:r>
      <w:proofErr w:type="spellStart"/>
      <w:r w:rsidR="00EF0513" w:rsidRPr="00EF0513">
        <w:rPr>
          <w:sz w:val="26"/>
          <w:szCs w:val="26"/>
        </w:rPr>
        <w:t>Unsa</w:t>
      </w:r>
      <w:proofErr w:type="spellEnd"/>
      <w:r w:rsidR="00EF0513" w:rsidRPr="00EF0513">
        <w:rPr>
          <w:sz w:val="26"/>
          <w:szCs w:val="26"/>
        </w:rPr>
        <w:t xml:space="preserve"> est un syndicat national, il garde les mêmes principes quelle que soit la LVR à évoquer.</w:t>
      </w:r>
    </w:p>
    <w:p w14:paraId="6A45BC0B" w14:textId="446821D1" w:rsidR="00EF0513" w:rsidRPr="00EF0513" w:rsidRDefault="00EF0513" w:rsidP="00DB4847">
      <w:pPr>
        <w:spacing w:before="100" w:beforeAutospacing="1" w:after="100" w:afterAutospacing="1" w:line="240" w:lineRule="auto"/>
        <w:jc w:val="both"/>
        <w:rPr>
          <w:rFonts w:eastAsia="Times New Roman" w:cstheme="minorHAnsi"/>
          <w:sz w:val="26"/>
          <w:szCs w:val="26"/>
          <w:lang w:eastAsia="fr-FR"/>
        </w:rPr>
      </w:pPr>
      <w:r w:rsidRPr="00EF0513">
        <w:rPr>
          <w:rFonts w:eastAsia="Times New Roman" w:cstheme="minorHAnsi"/>
          <w:sz w:val="26"/>
          <w:szCs w:val="26"/>
          <w:lang w:eastAsia="fr-FR"/>
        </w:rPr>
        <w:t>La politique des langues que le SE-</w:t>
      </w:r>
      <w:proofErr w:type="spellStart"/>
      <w:r w:rsidRPr="00EF0513">
        <w:rPr>
          <w:rFonts w:eastAsia="Times New Roman" w:cstheme="minorHAnsi"/>
          <w:sz w:val="26"/>
          <w:szCs w:val="26"/>
          <w:lang w:eastAsia="fr-FR"/>
        </w:rPr>
        <w:t>Unsa</w:t>
      </w:r>
      <w:proofErr w:type="spellEnd"/>
      <w:r w:rsidRPr="00EF0513">
        <w:rPr>
          <w:rFonts w:eastAsia="Times New Roman" w:cstheme="minorHAnsi"/>
          <w:sz w:val="26"/>
          <w:szCs w:val="26"/>
          <w:lang w:eastAsia="fr-FR"/>
        </w:rPr>
        <w:t xml:space="preserve"> revendique doit viser à préserver et à améliorer la diversité dans le Service public. Elle s‘inscrit dans le projet européen</w:t>
      </w:r>
    </w:p>
    <w:p w14:paraId="6CA48AF8" w14:textId="3F910389" w:rsidR="00BE6BDC" w:rsidRDefault="00EF0513" w:rsidP="00DB4847">
      <w:pPr>
        <w:numPr>
          <w:ilvl w:val="0"/>
          <w:numId w:val="1"/>
        </w:numPr>
        <w:spacing w:before="100" w:beforeAutospacing="1" w:after="100" w:afterAutospacing="1" w:line="240" w:lineRule="auto"/>
        <w:jc w:val="both"/>
        <w:rPr>
          <w:rFonts w:eastAsia="Times New Roman" w:cstheme="minorHAnsi"/>
          <w:sz w:val="26"/>
          <w:szCs w:val="26"/>
          <w:lang w:eastAsia="fr-FR"/>
        </w:rPr>
      </w:pPr>
      <w:r w:rsidRPr="00EF0513">
        <w:rPr>
          <w:rFonts w:eastAsia="Times New Roman" w:cstheme="minorHAnsi"/>
          <w:sz w:val="26"/>
          <w:szCs w:val="26"/>
          <w:lang w:eastAsia="fr-FR"/>
        </w:rPr>
        <w:t>Le SE-</w:t>
      </w:r>
      <w:proofErr w:type="spellStart"/>
      <w:r w:rsidRPr="00EF0513">
        <w:rPr>
          <w:rFonts w:eastAsia="Times New Roman" w:cstheme="minorHAnsi"/>
          <w:sz w:val="26"/>
          <w:szCs w:val="26"/>
          <w:lang w:eastAsia="fr-FR"/>
        </w:rPr>
        <w:t>Unsa</w:t>
      </w:r>
      <w:proofErr w:type="spellEnd"/>
      <w:r w:rsidRPr="00EF0513">
        <w:rPr>
          <w:rFonts w:eastAsia="Times New Roman" w:cstheme="minorHAnsi"/>
          <w:sz w:val="26"/>
          <w:szCs w:val="26"/>
          <w:lang w:eastAsia="fr-FR"/>
        </w:rPr>
        <w:t xml:space="preserve"> exige que l’enseignement des langues régionales soit organisé et assuré par </w:t>
      </w:r>
      <w:r w:rsidR="00187361">
        <w:rPr>
          <w:rFonts w:eastAsia="Times New Roman" w:cstheme="minorHAnsi"/>
          <w:sz w:val="26"/>
          <w:szCs w:val="26"/>
          <w:lang w:eastAsia="fr-FR"/>
        </w:rPr>
        <w:t>l</w:t>
      </w:r>
      <w:r w:rsidRPr="00EF0513">
        <w:rPr>
          <w:rFonts w:eastAsia="Times New Roman" w:cstheme="minorHAnsi"/>
          <w:sz w:val="26"/>
          <w:szCs w:val="26"/>
          <w:lang w:eastAsia="fr-FR"/>
        </w:rPr>
        <w:t>’Education nationale sur la base du choix volontaire des familles.</w:t>
      </w:r>
    </w:p>
    <w:p w14:paraId="4A1EFCA7" w14:textId="402F8C08" w:rsidR="00EF0513" w:rsidRPr="00EF0513" w:rsidRDefault="00EF0513" w:rsidP="00DB4847">
      <w:pPr>
        <w:numPr>
          <w:ilvl w:val="0"/>
          <w:numId w:val="1"/>
        </w:numPr>
        <w:spacing w:before="100" w:beforeAutospacing="1" w:after="100" w:afterAutospacing="1" w:line="240" w:lineRule="auto"/>
        <w:jc w:val="both"/>
        <w:rPr>
          <w:rFonts w:eastAsia="Times New Roman" w:cstheme="minorHAnsi"/>
          <w:sz w:val="26"/>
          <w:szCs w:val="26"/>
          <w:lang w:eastAsia="fr-FR"/>
        </w:rPr>
      </w:pPr>
      <w:r w:rsidRPr="00EF0513">
        <w:rPr>
          <w:rFonts w:eastAsia="Times New Roman" w:cstheme="minorHAnsi"/>
          <w:sz w:val="26"/>
          <w:szCs w:val="26"/>
          <w:lang w:eastAsia="fr-FR"/>
        </w:rPr>
        <w:t>Pour le SE-</w:t>
      </w:r>
      <w:proofErr w:type="spellStart"/>
      <w:r w:rsidRPr="00EF0513">
        <w:rPr>
          <w:rFonts w:eastAsia="Times New Roman" w:cstheme="minorHAnsi"/>
          <w:sz w:val="26"/>
          <w:szCs w:val="26"/>
          <w:lang w:eastAsia="fr-FR"/>
        </w:rPr>
        <w:t>Unsa</w:t>
      </w:r>
      <w:proofErr w:type="spellEnd"/>
      <w:r w:rsidRPr="00EF0513">
        <w:rPr>
          <w:rFonts w:eastAsia="Times New Roman" w:cstheme="minorHAnsi"/>
          <w:sz w:val="26"/>
          <w:szCs w:val="26"/>
          <w:lang w:eastAsia="fr-FR"/>
        </w:rPr>
        <w:t>, l’offre en langues vivantes régionales doit être pilotée au niveau académique, afin de garantir une diversité, une cohérence et une continuité des apprentissages, et réduire les effets de concurrence entre établissements.</w:t>
      </w:r>
    </w:p>
    <w:p w14:paraId="1B4AC0F9" w14:textId="77777777" w:rsidR="00EF0513" w:rsidRPr="00EF0513" w:rsidRDefault="00EF0513" w:rsidP="00DB4847">
      <w:pPr>
        <w:numPr>
          <w:ilvl w:val="0"/>
          <w:numId w:val="1"/>
        </w:numPr>
        <w:spacing w:before="100" w:beforeAutospacing="1" w:after="100" w:afterAutospacing="1" w:line="240" w:lineRule="auto"/>
        <w:jc w:val="both"/>
        <w:rPr>
          <w:rFonts w:eastAsia="Times New Roman" w:cstheme="minorHAnsi"/>
          <w:sz w:val="26"/>
          <w:szCs w:val="26"/>
          <w:lang w:eastAsia="fr-FR"/>
        </w:rPr>
      </w:pPr>
      <w:r w:rsidRPr="00EF0513">
        <w:rPr>
          <w:rFonts w:eastAsia="Times New Roman" w:cstheme="minorHAnsi"/>
          <w:sz w:val="26"/>
          <w:szCs w:val="26"/>
          <w:lang w:eastAsia="fr-FR"/>
        </w:rPr>
        <w:t>Le SE-</w:t>
      </w:r>
      <w:proofErr w:type="spellStart"/>
      <w:r w:rsidRPr="00EF0513">
        <w:rPr>
          <w:rFonts w:eastAsia="Times New Roman" w:cstheme="minorHAnsi"/>
          <w:sz w:val="26"/>
          <w:szCs w:val="26"/>
          <w:lang w:eastAsia="fr-FR"/>
        </w:rPr>
        <w:t>Unsa</w:t>
      </w:r>
      <w:proofErr w:type="spellEnd"/>
      <w:r w:rsidRPr="00EF0513">
        <w:rPr>
          <w:rFonts w:eastAsia="Times New Roman" w:cstheme="minorHAnsi"/>
          <w:sz w:val="26"/>
          <w:szCs w:val="26"/>
          <w:lang w:eastAsia="fr-FR"/>
        </w:rPr>
        <w:t xml:space="preserve"> considère Ia diversité des langues et des cultures comme une richesse. Toutefois, pour le SE-</w:t>
      </w:r>
      <w:proofErr w:type="spellStart"/>
      <w:r w:rsidRPr="00EF0513">
        <w:rPr>
          <w:rFonts w:eastAsia="Times New Roman" w:cstheme="minorHAnsi"/>
          <w:sz w:val="26"/>
          <w:szCs w:val="26"/>
          <w:lang w:eastAsia="fr-FR"/>
        </w:rPr>
        <w:t>Unsa</w:t>
      </w:r>
      <w:proofErr w:type="spellEnd"/>
      <w:r w:rsidRPr="00EF0513">
        <w:rPr>
          <w:rFonts w:eastAsia="Times New Roman" w:cstheme="minorHAnsi"/>
          <w:sz w:val="26"/>
          <w:szCs w:val="26"/>
          <w:lang w:eastAsia="fr-FR"/>
        </w:rPr>
        <w:t xml:space="preserve">, l’offre linguistique ne peut servir à contourner la sectorisation scolaire ni à créer des classes de niveau. </w:t>
      </w:r>
    </w:p>
    <w:p w14:paraId="2B54E1FD" w14:textId="77777777" w:rsidR="00EF0513" w:rsidRPr="00EF0513" w:rsidRDefault="00EF0513" w:rsidP="00DB4847">
      <w:pPr>
        <w:numPr>
          <w:ilvl w:val="0"/>
          <w:numId w:val="1"/>
        </w:numPr>
        <w:spacing w:before="100" w:beforeAutospacing="1" w:after="100" w:afterAutospacing="1" w:line="240" w:lineRule="auto"/>
        <w:jc w:val="both"/>
        <w:rPr>
          <w:rFonts w:eastAsia="Times New Roman" w:cstheme="minorHAnsi"/>
          <w:sz w:val="26"/>
          <w:szCs w:val="26"/>
          <w:lang w:eastAsia="fr-FR"/>
        </w:rPr>
      </w:pPr>
      <w:r w:rsidRPr="00EF0513">
        <w:rPr>
          <w:rFonts w:eastAsia="Times New Roman" w:cstheme="minorHAnsi"/>
          <w:sz w:val="26"/>
          <w:szCs w:val="26"/>
          <w:lang w:eastAsia="fr-FR"/>
        </w:rPr>
        <w:t>Pour le SE-</w:t>
      </w:r>
      <w:proofErr w:type="spellStart"/>
      <w:r w:rsidRPr="00EF0513">
        <w:rPr>
          <w:rFonts w:eastAsia="Times New Roman" w:cstheme="minorHAnsi"/>
          <w:sz w:val="26"/>
          <w:szCs w:val="26"/>
          <w:lang w:eastAsia="fr-FR"/>
        </w:rPr>
        <w:t>Unsa</w:t>
      </w:r>
      <w:proofErr w:type="spellEnd"/>
      <w:r w:rsidRPr="00EF0513">
        <w:rPr>
          <w:rFonts w:eastAsia="Times New Roman" w:cstheme="minorHAnsi"/>
          <w:sz w:val="26"/>
          <w:szCs w:val="26"/>
          <w:lang w:eastAsia="fr-FR"/>
        </w:rPr>
        <w:t>, l’enseignement des langues régionales, sans entrer dans une logique communautariste, doit être mis en œuvre avec des déclinaisons adaptées selon les régions et les voies définies par les textes de l’Éducation nationale (sensibilisation, initiation pouvant aller jusqu’à la parité horaire). Le SE-</w:t>
      </w:r>
      <w:proofErr w:type="spellStart"/>
      <w:r w:rsidRPr="00EF0513">
        <w:rPr>
          <w:rFonts w:eastAsia="Times New Roman" w:cstheme="minorHAnsi"/>
          <w:sz w:val="26"/>
          <w:szCs w:val="26"/>
          <w:lang w:eastAsia="fr-FR"/>
        </w:rPr>
        <w:t>Unsa</w:t>
      </w:r>
      <w:proofErr w:type="spellEnd"/>
      <w:r w:rsidRPr="00EF0513">
        <w:rPr>
          <w:rFonts w:eastAsia="Times New Roman" w:cstheme="minorHAnsi"/>
          <w:sz w:val="26"/>
          <w:szCs w:val="26"/>
          <w:lang w:eastAsia="fr-FR"/>
        </w:rPr>
        <w:t xml:space="preserve"> ne s’oppose pas à l’apprentissage des langues régionales par l’immersion lorsque le projet est concerté, encadré, validé par l’équipe pédagogique et évalué régulièrement par l’institution.</w:t>
      </w:r>
    </w:p>
    <w:p w14:paraId="6D1CA678" w14:textId="7B1BDABB" w:rsidR="00EF0513" w:rsidRPr="00EF0513" w:rsidRDefault="00EF0513" w:rsidP="00DB4847">
      <w:pPr>
        <w:numPr>
          <w:ilvl w:val="0"/>
          <w:numId w:val="1"/>
        </w:numPr>
        <w:spacing w:before="100" w:beforeAutospacing="1" w:after="100" w:afterAutospacing="1" w:line="240" w:lineRule="auto"/>
        <w:contextualSpacing/>
        <w:jc w:val="both"/>
        <w:rPr>
          <w:sz w:val="26"/>
          <w:szCs w:val="26"/>
        </w:rPr>
      </w:pPr>
      <w:r w:rsidRPr="00EF0513">
        <w:rPr>
          <w:rFonts w:eastAsia="Times New Roman" w:cstheme="minorHAnsi"/>
          <w:sz w:val="26"/>
          <w:szCs w:val="26"/>
          <w:lang w:eastAsia="fr-FR"/>
        </w:rPr>
        <w:t>Le SE-</w:t>
      </w:r>
      <w:proofErr w:type="spellStart"/>
      <w:r w:rsidRPr="00EF0513">
        <w:rPr>
          <w:rFonts w:eastAsia="Times New Roman" w:cstheme="minorHAnsi"/>
          <w:sz w:val="26"/>
          <w:szCs w:val="26"/>
          <w:lang w:eastAsia="fr-FR"/>
        </w:rPr>
        <w:t>Unsa</w:t>
      </w:r>
      <w:proofErr w:type="spellEnd"/>
      <w:r w:rsidRPr="00EF0513">
        <w:rPr>
          <w:rFonts w:eastAsia="Times New Roman" w:cstheme="minorHAnsi"/>
          <w:sz w:val="26"/>
          <w:szCs w:val="26"/>
          <w:lang w:eastAsia="fr-FR"/>
        </w:rPr>
        <w:t xml:space="preserve"> condamne et œuvrera pour abroger les récentes dispositions législatives qui contraignent les communes au financement d’écoles privées pratiquant l’immersion lorsqu’elles accueillent des enfants de leur commune.</w:t>
      </w:r>
    </w:p>
    <w:p w14:paraId="76A3313D" w14:textId="6DA4F45B" w:rsidR="00EF0513" w:rsidRPr="00EF0513" w:rsidRDefault="00EF0513" w:rsidP="00DB4847">
      <w:pPr>
        <w:spacing w:before="100" w:beforeAutospacing="1" w:after="100" w:afterAutospacing="1" w:line="240" w:lineRule="auto"/>
        <w:contextualSpacing/>
        <w:jc w:val="both"/>
        <w:rPr>
          <w:rFonts w:eastAsia="Times New Roman" w:cstheme="minorHAnsi"/>
          <w:sz w:val="26"/>
          <w:szCs w:val="26"/>
          <w:lang w:eastAsia="fr-FR"/>
        </w:rPr>
      </w:pPr>
    </w:p>
    <w:p w14:paraId="6C3F495B" w14:textId="71A7CF2D" w:rsidR="00EF0513" w:rsidRPr="00EF0513" w:rsidRDefault="00EF0513" w:rsidP="00DB4847">
      <w:pPr>
        <w:spacing w:before="100" w:beforeAutospacing="1" w:after="100" w:afterAutospacing="1" w:line="240" w:lineRule="auto"/>
        <w:contextualSpacing/>
        <w:jc w:val="both"/>
        <w:rPr>
          <w:sz w:val="26"/>
          <w:szCs w:val="26"/>
        </w:rPr>
      </w:pPr>
      <w:r w:rsidRPr="00EF0513">
        <w:rPr>
          <w:rFonts w:eastAsia="Times New Roman" w:cstheme="minorHAnsi"/>
          <w:sz w:val="26"/>
          <w:szCs w:val="26"/>
          <w:lang w:eastAsia="fr-FR"/>
        </w:rPr>
        <w:t>Ces 5 principes guideront nos interventions lors des prochaines CAEOC.</w:t>
      </w:r>
    </w:p>
    <w:p w14:paraId="5C7139DF" w14:textId="7EC60683" w:rsidR="00EF0513" w:rsidRDefault="00EF0513" w:rsidP="00F853F6">
      <w:pPr>
        <w:tabs>
          <w:tab w:val="left" w:pos="7740"/>
        </w:tabs>
        <w:contextualSpacing/>
        <w:rPr>
          <w:sz w:val="24"/>
          <w:szCs w:val="24"/>
        </w:rPr>
      </w:pPr>
    </w:p>
    <w:p w14:paraId="0DF4BC04" w14:textId="77777777" w:rsidR="00EF0513" w:rsidRPr="00EF0513" w:rsidRDefault="00EF0513" w:rsidP="00F853F6">
      <w:pPr>
        <w:tabs>
          <w:tab w:val="left" w:pos="7740"/>
        </w:tabs>
        <w:contextualSpacing/>
        <w:rPr>
          <w:sz w:val="24"/>
          <w:szCs w:val="24"/>
        </w:rPr>
      </w:pPr>
    </w:p>
    <w:sectPr w:rsidR="00EF0513" w:rsidRPr="00EF0513" w:rsidSect="0048553F">
      <w:pgSz w:w="11906" w:h="16838"/>
      <w:pgMar w:top="680" w:right="1134" w:bottom="68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D617B0"/>
    <w:multiLevelType w:val="multilevel"/>
    <w:tmpl w:val="E6C81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24020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C81"/>
    <w:rsid w:val="00020637"/>
    <w:rsid w:val="00121E7A"/>
    <w:rsid w:val="00187361"/>
    <w:rsid w:val="002B3246"/>
    <w:rsid w:val="0048553F"/>
    <w:rsid w:val="007A5797"/>
    <w:rsid w:val="00AB4E4D"/>
    <w:rsid w:val="00BE6BDC"/>
    <w:rsid w:val="00C809FB"/>
    <w:rsid w:val="00DB4847"/>
    <w:rsid w:val="00DD3C81"/>
    <w:rsid w:val="00EA0AE1"/>
    <w:rsid w:val="00EF0513"/>
    <w:rsid w:val="00F25C6B"/>
    <w:rsid w:val="00F6338B"/>
    <w:rsid w:val="00F853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8D42E"/>
  <w15:chartTrackingRefBased/>
  <w15:docId w15:val="{AA24689A-B369-471C-AD55-67AF218F9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F051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68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349</Words>
  <Characters>1924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Section Toulouse</dc:creator>
  <cp:keywords/>
  <dc:description/>
  <cp:lastModifiedBy>Section Toulouse</cp:lastModifiedBy>
  <cp:revision>12</cp:revision>
  <dcterms:created xsi:type="dcterms:W3CDTF">2022-12-11T17:47:00Z</dcterms:created>
  <dcterms:modified xsi:type="dcterms:W3CDTF">2022-12-12T13:32:00Z</dcterms:modified>
</cp:coreProperties>
</file>