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C" w:rsidRPr="00AE6529" w:rsidRDefault="00CE65EC" w:rsidP="00AE6529">
      <w:pPr>
        <w:jc w:val="center"/>
        <w:rPr>
          <w:b/>
          <w:sz w:val="32"/>
        </w:rPr>
      </w:pPr>
      <w:r w:rsidRPr="00AE6529">
        <w:rPr>
          <w:noProof/>
          <w:sz w:val="32"/>
          <w:lang w:eastAsia="fr-FR"/>
        </w:rPr>
        <w:drawing>
          <wp:anchor distT="0" distB="0" distL="114300" distR="114300" simplePos="0" relativeHeight="251658752" behindDoc="1" locked="0" layoutInCell="1" allowOverlap="1" wp14:anchorId="6E3C2723" wp14:editId="14B66E6A">
            <wp:simplePos x="0" y="0"/>
            <wp:positionH relativeFrom="column">
              <wp:posOffset>-42545</wp:posOffset>
            </wp:positionH>
            <wp:positionV relativeFrom="paragraph">
              <wp:posOffset>-223520</wp:posOffset>
            </wp:positionV>
            <wp:extent cx="1257300" cy="809625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529">
        <w:rPr>
          <w:b/>
          <w:sz w:val="32"/>
        </w:rPr>
        <w:t>Déclaration de l’UNSA-Education au CTA extraordinaire du 28 mai 2018</w:t>
      </w:r>
    </w:p>
    <w:p w:rsidR="00CE65EC" w:rsidRPr="00B848ED" w:rsidRDefault="00CE65EC" w:rsidP="00CE65EC">
      <w:pPr>
        <w:rPr>
          <w:b/>
          <w:i/>
          <w:color w:val="0066CC"/>
          <w:sz w:val="24"/>
        </w:rPr>
      </w:pPr>
      <w:r w:rsidRPr="00B848ED">
        <w:rPr>
          <w:b/>
          <w:i/>
          <w:color w:val="0066CC"/>
          <w:sz w:val="24"/>
        </w:rPr>
        <w:t xml:space="preserve">Académie de </w:t>
      </w:r>
      <w:r w:rsidR="00326FD3">
        <w:rPr>
          <w:b/>
          <w:i/>
          <w:color w:val="0066CC"/>
          <w:sz w:val="24"/>
        </w:rPr>
        <w:t>Nancy-Metz</w:t>
      </w:r>
    </w:p>
    <w:p w:rsidR="00CE65EC" w:rsidRDefault="00CE65EC" w:rsidP="00CE65EC"/>
    <w:p w:rsidR="00CE65EC" w:rsidRPr="00AE6529" w:rsidRDefault="00CE65EC" w:rsidP="00CE65EC">
      <w:pPr>
        <w:spacing w:after="0" w:line="240" w:lineRule="auto"/>
        <w:rPr>
          <w:sz w:val="26"/>
          <w:szCs w:val="26"/>
        </w:rPr>
      </w:pPr>
      <w:r w:rsidRPr="00AE6529">
        <w:rPr>
          <w:sz w:val="26"/>
          <w:szCs w:val="26"/>
        </w:rPr>
        <w:t>Madame la Rectrice</w:t>
      </w:r>
    </w:p>
    <w:p w:rsidR="00CE65EC" w:rsidRDefault="00CE65EC" w:rsidP="00CE65EC">
      <w:pPr>
        <w:spacing w:after="0" w:line="240" w:lineRule="auto"/>
        <w:rPr>
          <w:sz w:val="26"/>
          <w:szCs w:val="26"/>
        </w:rPr>
      </w:pPr>
      <w:r w:rsidRPr="00AE6529">
        <w:rPr>
          <w:sz w:val="26"/>
          <w:szCs w:val="26"/>
        </w:rPr>
        <w:t>Mesdames, Messieurs,</w:t>
      </w:r>
    </w:p>
    <w:p w:rsidR="00AE6529" w:rsidRPr="00AE6529" w:rsidRDefault="00AE6529" w:rsidP="00CE65EC">
      <w:pPr>
        <w:spacing w:after="0" w:line="240" w:lineRule="auto"/>
        <w:rPr>
          <w:sz w:val="26"/>
          <w:szCs w:val="26"/>
        </w:rPr>
      </w:pPr>
    </w:p>
    <w:p w:rsidR="00E50616" w:rsidRPr="00AE6529" w:rsidRDefault="00015B56" w:rsidP="00AE6529">
      <w:pPr>
        <w:keepNext/>
        <w:spacing w:after="120" w:line="240" w:lineRule="auto"/>
        <w:jc w:val="both"/>
        <w:rPr>
          <w:sz w:val="26"/>
          <w:szCs w:val="26"/>
        </w:rPr>
      </w:pPr>
      <w:r w:rsidRPr="00AE6529">
        <w:rPr>
          <w:sz w:val="26"/>
          <w:szCs w:val="26"/>
        </w:rPr>
        <w:t xml:space="preserve">Prévenu vendredi à 15h30, pour une réunion lundi à </w:t>
      </w:r>
      <w:r w:rsidR="00326FD3" w:rsidRPr="00AE6529">
        <w:rPr>
          <w:sz w:val="26"/>
          <w:szCs w:val="26"/>
        </w:rPr>
        <w:t>14</w:t>
      </w:r>
      <w:r w:rsidRPr="00AE6529">
        <w:rPr>
          <w:sz w:val="26"/>
          <w:szCs w:val="26"/>
        </w:rPr>
        <w:t>h… Décidemment, le dialogue social orchestré par le ministère est bien malade.</w:t>
      </w:r>
      <w:r w:rsidR="00E50616" w:rsidRPr="00AE6529">
        <w:rPr>
          <w:sz w:val="26"/>
          <w:szCs w:val="26"/>
        </w:rPr>
        <w:t xml:space="preserve">  De qui se moque-t-on ? </w:t>
      </w:r>
    </w:p>
    <w:p w:rsidR="00CE65EC" w:rsidRPr="00AE6529" w:rsidRDefault="0037434A" w:rsidP="00AE6529">
      <w:pPr>
        <w:keepNext/>
        <w:spacing w:after="120" w:line="240" w:lineRule="auto"/>
        <w:jc w:val="both"/>
        <w:rPr>
          <w:sz w:val="26"/>
          <w:szCs w:val="26"/>
        </w:rPr>
      </w:pPr>
      <w:r w:rsidRPr="00AE6529">
        <w:rPr>
          <w:sz w:val="26"/>
          <w:szCs w:val="26"/>
        </w:rPr>
        <w:t>Pour l’U</w:t>
      </w:r>
      <w:r w:rsidR="00CC6DCD" w:rsidRPr="00AE6529">
        <w:rPr>
          <w:sz w:val="26"/>
          <w:szCs w:val="26"/>
        </w:rPr>
        <w:t>NSA</w:t>
      </w:r>
      <w:r w:rsidRPr="00AE6529">
        <w:rPr>
          <w:sz w:val="26"/>
          <w:szCs w:val="26"/>
        </w:rPr>
        <w:t>-Education, l</w:t>
      </w:r>
      <w:r w:rsidR="00CE65EC" w:rsidRPr="00AE6529">
        <w:rPr>
          <w:sz w:val="26"/>
          <w:szCs w:val="26"/>
        </w:rPr>
        <w:t>a démocratie sociale est bien malade quand on considère avec autant de</w:t>
      </w:r>
      <w:r w:rsidRPr="00AE6529">
        <w:rPr>
          <w:sz w:val="26"/>
          <w:szCs w:val="26"/>
        </w:rPr>
        <w:t xml:space="preserve"> désinvolture</w:t>
      </w:r>
      <w:r w:rsidR="00CE65EC" w:rsidRPr="00AE6529">
        <w:rPr>
          <w:sz w:val="26"/>
          <w:szCs w:val="26"/>
        </w:rPr>
        <w:t xml:space="preserve"> les représentants des personnels, qui bien sûr, n’avaient rien d’autre à faire ce </w:t>
      </w:r>
      <w:r w:rsidR="00326FD3" w:rsidRPr="00AE6529">
        <w:rPr>
          <w:sz w:val="26"/>
          <w:szCs w:val="26"/>
        </w:rPr>
        <w:t>jour</w:t>
      </w:r>
      <w:r w:rsidR="00CE65EC" w:rsidRPr="00AE6529">
        <w:rPr>
          <w:sz w:val="26"/>
          <w:szCs w:val="26"/>
        </w:rPr>
        <w:t xml:space="preserve">… </w:t>
      </w:r>
      <w:r w:rsidRPr="00AE6529">
        <w:rPr>
          <w:sz w:val="26"/>
          <w:szCs w:val="26"/>
        </w:rPr>
        <w:t xml:space="preserve">Rarement les représentants  des personnels n’ont été autant </w:t>
      </w:r>
      <w:r w:rsidR="00CE65EC" w:rsidRPr="00AE6529">
        <w:rPr>
          <w:sz w:val="26"/>
          <w:szCs w:val="26"/>
        </w:rPr>
        <w:t>envisag</w:t>
      </w:r>
      <w:r w:rsidRPr="00AE6529">
        <w:rPr>
          <w:sz w:val="26"/>
          <w:szCs w:val="26"/>
        </w:rPr>
        <w:t xml:space="preserve">és </w:t>
      </w:r>
      <w:r w:rsidR="00CE65EC" w:rsidRPr="00AE6529">
        <w:rPr>
          <w:sz w:val="26"/>
          <w:szCs w:val="26"/>
        </w:rPr>
        <w:t xml:space="preserve">comme de simples pions, </w:t>
      </w:r>
      <w:r w:rsidRPr="00AE6529">
        <w:rPr>
          <w:sz w:val="26"/>
          <w:szCs w:val="26"/>
        </w:rPr>
        <w:t xml:space="preserve">dont on peut disposer de façon permanente et </w:t>
      </w:r>
      <w:r w:rsidR="00CE65EC" w:rsidRPr="00AE6529">
        <w:rPr>
          <w:sz w:val="26"/>
          <w:szCs w:val="26"/>
        </w:rPr>
        <w:t>immédiate</w:t>
      </w:r>
      <w:r w:rsidRPr="00AE6529">
        <w:rPr>
          <w:sz w:val="26"/>
          <w:szCs w:val="26"/>
        </w:rPr>
        <w:t>.</w:t>
      </w:r>
    </w:p>
    <w:p w:rsidR="00326FD3" w:rsidRPr="00AE6529" w:rsidRDefault="00015B56" w:rsidP="00AE6529">
      <w:pPr>
        <w:keepNext/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AE6529">
        <w:rPr>
          <w:sz w:val="26"/>
          <w:szCs w:val="26"/>
        </w:rPr>
        <w:t xml:space="preserve">Cela en dit </w:t>
      </w:r>
      <w:r w:rsidR="00E50616" w:rsidRPr="00AE6529">
        <w:rPr>
          <w:sz w:val="26"/>
          <w:szCs w:val="26"/>
        </w:rPr>
        <w:t>également l</w:t>
      </w:r>
      <w:r w:rsidRPr="00AE6529">
        <w:rPr>
          <w:sz w:val="26"/>
          <w:szCs w:val="26"/>
        </w:rPr>
        <w:t xml:space="preserve">ong sur le management de notre ministre, qui parle régulièrement de RH et de confiance, mais qui se comporte </w:t>
      </w:r>
      <w:r w:rsidR="00B05EB2" w:rsidRPr="00AE6529">
        <w:rPr>
          <w:sz w:val="26"/>
          <w:szCs w:val="26"/>
        </w:rPr>
        <w:t xml:space="preserve">bien </w:t>
      </w:r>
      <w:r w:rsidRPr="00AE6529">
        <w:rPr>
          <w:sz w:val="26"/>
          <w:szCs w:val="26"/>
        </w:rPr>
        <w:t xml:space="preserve">trop souvent avec mépris envers ses fonctionnaires sommés d’organiser en urgence une réunion extraordinaire du CTA. </w:t>
      </w:r>
      <w:r w:rsidR="00326FD3" w:rsidRPr="00AE6529">
        <w:rPr>
          <w:rFonts w:eastAsia="Times New Roman" w:cstheme="minorHAnsi"/>
          <w:color w:val="000000"/>
          <w:sz w:val="26"/>
          <w:szCs w:val="26"/>
          <w:lang w:eastAsia="fr-FR"/>
        </w:rPr>
        <w:t xml:space="preserve">Même s’il n’y a que deux sujets à l’ordre du jour, dont un éminemment politique, </w:t>
      </w:r>
      <w:r w:rsidR="00326FD3" w:rsidRPr="00AE6529">
        <w:rPr>
          <w:sz w:val="26"/>
          <w:szCs w:val="26"/>
        </w:rPr>
        <w:t>l</w:t>
      </w:r>
      <w:r w:rsidR="00326FD3" w:rsidRPr="00AE6529">
        <w:rPr>
          <w:sz w:val="26"/>
          <w:szCs w:val="26"/>
        </w:rPr>
        <w:t>’UNSA-Education</w:t>
      </w:r>
      <w:r w:rsidR="00326FD3" w:rsidRPr="00AE6529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regrette la surcharge de travail gérée par les services dans l’urgence.</w:t>
      </w:r>
    </w:p>
    <w:p w:rsidR="00326FD3" w:rsidRPr="00AE6529" w:rsidRDefault="00326FD3" w:rsidP="00AE6529">
      <w:pPr>
        <w:keepNext/>
        <w:spacing w:after="120" w:line="240" w:lineRule="auto"/>
        <w:jc w:val="both"/>
        <w:rPr>
          <w:sz w:val="26"/>
          <w:szCs w:val="26"/>
        </w:rPr>
      </w:pPr>
      <w:r w:rsidRPr="00AE6529">
        <w:rPr>
          <w:sz w:val="26"/>
          <w:szCs w:val="26"/>
        </w:rPr>
        <w:t xml:space="preserve">L’UNSA-Education proteste vigoureusement contre cette manière d’agir du ministre. En effet, ne dit-on pas que « gouverner c’est prévoir ». Et s’il y a bien un sujet qui n’est pas imprévu, c’est la tenue d’élections professionnelles en décembre 2018. </w:t>
      </w:r>
    </w:p>
    <w:p w:rsidR="00015B56" w:rsidRPr="00AE6529" w:rsidRDefault="00326FD3" w:rsidP="00AE6529">
      <w:pPr>
        <w:keepNext/>
        <w:spacing w:after="120" w:line="240" w:lineRule="auto"/>
        <w:jc w:val="both"/>
        <w:rPr>
          <w:sz w:val="26"/>
          <w:szCs w:val="26"/>
        </w:rPr>
      </w:pPr>
      <w:r w:rsidRPr="00AE6529">
        <w:rPr>
          <w:sz w:val="26"/>
          <w:szCs w:val="26"/>
        </w:rPr>
        <w:t xml:space="preserve">L’UNSA-Education relève la dernière des injonctions contradictoires de notre ministère : </w:t>
      </w:r>
    </w:p>
    <w:p w:rsidR="00326FD3" w:rsidRPr="00AE6529" w:rsidRDefault="00326FD3" w:rsidP="00AE6529">
      <w:pPr>
        <w:keepNext/>
        <w:spacing w:after="120" w:line="240" w:lineRule="auto"/>
        <w:jc w:val="both"/>
        <w:rPr>
          <w:sz w:val="26"/>
          <w:szCs w:val="26"/>
        </w:rPr>
      </w:pPr>
      <w:r w:rsidRPr="00AE6529">
        <w:rPr>
          <w:sz w:val="26"/>
          <w:szCs w:val="26"/>
        </w:rPr>
        <w:tab/>
        <w:t xml:space="preserve">-celle de demander à nos CPE et </w:t>
      </w:r>
      <w:proofErr w:type="spellStart"/>
      <w:r w:rsidRPr="00AE6529">
        <w:rPr>
          <w:sz w:val="26"/>
          <w:szCs w:val="26"/>
        </w:rPr>
        <w:t>Psy-EN</w:t>
      </w:r>
      <w:proofErr w:type="spellEnd"/>
      <w:r w:rsidRPr="00AE6529">
        <w:rPr>
          <w:sz w:val="26"/>
          <w:szCs w:val="26"/>
        </w:rPr>
        <w:t xml:space="preserve"> de s’intégrer dans les équipes éducatives, mais d’être gérées comme le personnel administratif. Pourquoi les sortir du champ dérogatoire du Ministère de l’Education Nationale si ce n’est pour des mesures économiques</w:t>
      </w:r>
      <w:r w:rsidR="007911D3">
        <w:rPr>
          <w:sz w:val="26"/>
          <w:szCs w:val="26"/>
        </w:rPr>
        <w:t xml:space="preserve"> et de casse du dialogue social</w:t>
      </w:r>
      <w:bookmarkStart w:id="0" w:name="_GoBack"/>
      <w:bookmarkEnd w:id="0"/>
      <w:r w:rsidRPr="00AE6529">
        <w:rPr>
          <w:sz w:val="26"/>
          <w:szCs w:val="26"/>
        </w:rPr>
        <w:t> !</w:t>
      </w:r>
    </w:p>
    <w:p w:rsidR="00326FD3" w:rsidRPr="00AE6529" w:rsidRDefault="00326FD3" w:rsidP="00AE6529">
      <w:pPr>
        <w:keepNext/>
        <w:spacing w:after="120" w:line="240" w:lineRule="auto"/>
        <w:jc w:val="both"/>
        <w:rPr>
          <w:sz w:val="26"/>
          <w:szCs w:val="26"/>
        </w:rPr>
      </w:pPr>
      <w:r w:rsidRPr="00AE6529">
        <w:rPr>
          <w:sz w:val="26"/>
          <w:szCs w:val="26"/>
        </w:rPr>
        <w:t xml:space="preserve">L’UNSA-Education demande à conserver les CPE et les </w:t>
      </w:r>
      <w:proofErr w:type="spellStart"/>
      <w:r w:rsidRPr="00AE6529">
        <w:rPr>
          <w:sz w:val="26"/>
          <w:szCs w:val="26"/>
        </w:rPr>
        <w:t>Psy-EN</w:t>
      </w:r>
      <w:proofErr w:type="spellEnd"/>
      <w:r w:rsidRPr="00AE6529">
        <w:rPr>
          <w:sz w:val="26"/>
          <w:szCs w:val="26"/>
        </w:rPr>
        <w:t xml:space="preserve"> dans le champ dérogatoire.</w:t>
      </w:r>
    </w:p>
    <w:p w:rsidR="00326FD3" w:rsidRPr="00AE6529" w:rsidRDefault="00326FD3" w:rsidP="00AE6529">
      <w:pPr>
        <w:keepNext/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L’UNSA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-Education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 s’inter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roge sur la volonté du gou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ver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ne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ment de réduire le syn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di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ca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lisme dans la fonc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tion publi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que.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t> En effet, l</w:t>
      </w:r>
      <w:r w:rsidRPr="00AE6529">
        <w:rPr>
          <w:rFonts w:eastAsia="Times New Roman" w:cstheme="minorHAnsi"/>
          <w:color w:val="000000"/>
          <w:sz w:val="26"/>
          <w:szCs w:val="26"/>
          <w:lang w:eastAsia="fr-FR"/>
        </w:rPr>
        <w:t>’administration a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le pou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voir de déci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sion qui est, aujourd’hui, éclairé et régulé par l’avis donné lors des ins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tan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ces consul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ta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ti</w:t>
      </w:r>
      <w:r w:rsidRPr="002C04B4">
        <w:rPr>
          <w:rFonts w:eastAsia="Times New Roman" w:cstheme="minorHAnsi"/>
          <w:color w:val="000000"/>
          <w:sz w:val="26"/>
          <w:szCs w:val="26"/>
          <w:lang w:eastAsia="fr-FR"/>
        </w:rPr>
        <w:softHyphen/>
        <w:t>ves. </w:t>
      </w:r>
    </w:p>
    <w:p w:rsidR="00326FD3" w:rsidRPr="00AE6529" w:rsidRDefault="00326FD3" w:rsidP="00AE6529">
      <w:pPr>
        <w:keepNext/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Réduire le nombre de commissaires paritaires et le rôle des C.A.P., revient à limiter le temps que les syndicats passent à renseigner et aider chaque agent. </w:t>
      </w:r>
      <w:r w:rsidRPr="00AE6529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Ce qui, par effet domino, augmentera le temps utilisé par des services à répondre aux fonctionnaires. </w:t>
      </w:r>
    </w:p>
    <w:p w:rsidR="00326FD3" w:rsidRPr="002C04B4" w:rsidRDefault="00326FD3" w:rsidP="00AE6529">
      <w:pPr>
        <w:keepNext/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Ce n’est pas la concep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tion de l’UNSA</w:t>
      </w:r>
      <w:r w:rsid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-Education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 qui prône une véri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ta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ble moder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ni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sation du dia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lo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gue social pour un meilleur fonc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tion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ne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ment des col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lec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tifs de tra</w:t>
      </w:r>
      <w:r w:rsidRPr="00AE6529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softHyphen/>
        <w:t>vail.</w:t>
      </w:r>
    </w:p>
    <w:sectPr w:rsidR="00326FD3" w:rsidRPr="002C04B4" w:rsidSect="00AE6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6"/>
    <w:rsid w:val="00015B56"/>
    <w:rsid w:val="00326FD3"/>
    <w:rsid w:val="0037434A"/>
    <w:rsid w:val="00435A38"/>
    <w:rsid w:val="007911D3"/>
    <w:rsid w:val="007D7FA7"/>
    <w:rsid w:val="007F7621"/>
    <w:rsid w:val="0088564B"/>
    <w:rsid w:val="00887C46"/>
    <w:rsid w:val="00AE6529"/>
    <w:rsid w:val="00B05EB2"/>
    <w:rsid w:val="00C41E25"/>
    <w:rsid w:val="00CC6DCD"/>
    <w:rsid w:val="00CE65EC"/>
    <w:rsid w:val="00D35991"/>
    <w:rsid w:val="00DD58C5"/>
    <w:rsid w:val="00E50616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jeanmichel.alavoine.unsa@orange.fr</dc:creator>
  <cp:lastModifiedBy>Utilisateur</cp:lastModifiedBy>
  <cp:revision>3</cp:revision>
  <cp:lastPrinted>2018-05-28T10:06:00Z</cp:lastPrinted>
  <dcterms:created xsi:type="dcterms:W3CDTF">2018-05-28T10:02:00Z</dcterms:created>
  <dcterms:modified xsi:type="dcterms:W3CDTF">2018-05-28T10:09:00Z</dcterms:modified>
</cp:coreProperties>
</file>