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4981538</wp:posOffset>
                </wp:positionH>
                <wp:positionV relativeFrom="page">
                  <wp:posOffset>220980</wp:posOffset>
                </wp:positionV>
                <wp:extent cx="1901570" cy="1913019"/>
                <wp:effectExtent l="0" t="0" r="0" b="0"/>
                <wp:wrapNone/>
                <wp:docPr id="1073741827" name="officeArt object" descr="logo unsa education.jp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570" cy="1913019"/>
                          <a:chOff x="0" y="0"/>
                          <a:chExt cx="1901569" cy="1913018"/>
                        </a:xfrm>
                      </wpg:grpSpPr>
                      <pic:pic xmlns:pic="http://schemas.openxmlformats.org/drawingml/2006/picture">
                        <pic:nvPicPr>
                          <pic:cNvPr id="1073741826" name="logo unsa education.jpg" descr="logo unsa education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999" y="88900"/>
                            <a:ext cx="1647571" cy="1582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logo unsa education.jpg" descr="logo unsa education.jp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570" cy="191301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92.2pt;margin-top:17.4pt;width:149.7pt;height:150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1901570,1913018">
                <w10:wrap type="none" side="bothSides" anchorx="margin" anchory="page"/>
                <v:shape id="_x0000_s1027" type="#_x0000_t75" style="position:absolute;left:127000;top:88900;width:1647570;height:1582818;">
                  <v:imagedata r:id="rId4" o:title="logo unsa education.jpg"/>
                </v:shape>
                <v:shape id="_x0000_s1028" type="#_x0000_t75" style="position:absolute;left:0;top:0;width:1901570;height:1913018;">
                  <v:imagedata r:id="rId5" o:title=""/>
                </v:shape>
              </v:group>
            </w:pict>
          </mc:Fallback>
        </mc:AlternateContent>
      </w:r>
    </w:p>
    <w:p>
      <w:pPr>
        <w:pStyle w:val="Corps"/>
        <w:rPr>
          <w:b w:val="1"/>
          <w:bCs w:val="1"/>
          <w:outline w:val="0"/>
          <w:color w:val="005392"/>
          <w:sz w:val="42"/>
          <w:szCs w:val="4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sz w:val="42"/>
          <w:szCs w:val="42"/>
          <w:rtl w:val="0"/>
          <w:lang w:val="fr-FR"/>
          <w14:textFill>
            <w14:solidFill>
              <w14:srgbClr w14:val="005493"/>
            </w14:solidFill>
          </w14:textFill>
        </w:rPr>
        <w:t>CSAA du 26 mars 2024</w:t>
      </w: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 l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ordre du jour de ce CSAA :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:lang w:val="fr-FR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Evolution des postes enseignants et CPE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:lang w:val="fr-FR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Evolution des postes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infirmier scolaire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:lang w:val="fr-FR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Evolution des postes administratifs et ITRF et requalification des fili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res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:lang w:val="fr-FR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Evolution des 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ections sport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tudes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:lang w:val="fr-FR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Implantation exp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rimentale des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classes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paratoires 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en-US"/>
          <w14:textFill>
            <w14:solidFill>
              <w14:srgbClr w14:val="005493"/>
            </w14:solidFill>
          </w14:textFill>
        </w:rPr>
        <w:t>la classe de 2nde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ploiement du 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travail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:lang w:val="fr-FR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Rapport Social Unique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:lang w:val="fr-FR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Bilan des demandes de c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ong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de formations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Vous retrouverez dans notre dossier les principaux documents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sent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au CSA ainsi que notre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claration liminaire : </w:t>
      </w:r>
      <w:r>
        <w:rPr>
          <w:outline w:val="0"/>
          <w:color w:val="005392"/>
          <w:rtl w:val="0"/>
          <w:lang w:val="en-US"/>
          <w14:textFill>
            <w14:solidFill>
              <w14:srgbClr w14:val="005493"/>
            </w14:solidFill>
          </w14:textFill>
        </w:rPr>
        <w:t>https://nuage.unsa.org/index.php/s/rfgmNdx2tb52bze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Nous avons interpell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Mme la Rectrice principalement sur deux sujets :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:lang w:val="fr-FR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la mise en place du choc des savoirs</w:t>
      </w:r>
    </w:p>
    <w:p>
      <w:pPr>
        <w:pStyle w:val="Corps"/>
        <w:numPr>
          <w:ilvl w:val="0"/>
          <w:numId w:val="2"/>
        </w:numPr>
        <w:rPr>
          <w:outline w:val="0"/>
          <w:color w:val="005392"/>
          <w:lang w:val="fr-FR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La situation du remplacement en Creuse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fldChar w:fldCharType="begin" w:fldLock="0"/>
      </w: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instrText xml:space="preserve"> HYPERLINK "https://nuage.unsa.org/index.php/s/rfgmNdx2tb52bze"</w:instrText>
      </w: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Retrouvez notre D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claration ici </w:t>
      </w:r>
      <w:r>
        <w:rPr>
          <w:outline w:val="0"/>
          <w:color w:val="005392"/>
          <w14:textFill>
            <w14:solidFill>
              <w14:srgbClr w14:val="005493"/>
            </w14:solidFill>
          </w14:textFill>
        </w:rPr>
        <w:fldChar w:fldCharType="end" w:fldLock="0"/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R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ponses de la Rectrice aux d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clarations liminaires :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Concernant les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absences non remplac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es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en Creuse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 Rectrice indique que le Rectorat s</w:t>
      </w:r>
      <w:r>
        <w:rPr>
          <w:outline w:val="0"/>
          <w:color w:val="005392"/>
          <w:rtl w:val="1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en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occupe</w:t>
      </w:r>
      <w:r>
        <w:rPr>
          <w:outline w:val="0"/>
          <w:color w:val="005392"/>
          <w:rtl w:val="0"/>
          <w:lang w:val="pt-PT"/>
          <w14:textFill>
            <w14:solidFill>
              <w14:srgbClr w14:val="005493"/>
            </w14:solidFill>
          </w14:textFill>
        </w:rPr>
        <w:t xml:space="preserve"> mais qu</w:t>
      </w:r>
      <w:r>
        <w:rPr>
          <w:outline w:val="0"/>
          <w:color w:val="005392"/>
          <w:rtl w:val="1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elle ne peut pas inventer des moyens, le Rectorat cherche des solutions.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Nous lui rappelons que le DASEN a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sent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toutes les solutions 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il envisage, nous lui indiquons que le fait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annoncer que certaines classes ne pourront peut-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ê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tre pas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ê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tre remplac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es jusqu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’à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la fin de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 est in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dit et 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ellement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occupant. Nous interrogeons la Rectrice sur le nombre de postes offerts au concours du CRPE, la Rectrice a annonc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elle travaillait sur la 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partition des 76 postes entre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partements, pour le moment elle pencherait pour attribuer 20 postes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la Creuse, soit 8 de plus que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an pass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, ce qui serait un premier signe positif mais ne 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glerait pas les tensions dans les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partements de la Haute-Vienne ou de la Corr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ze.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Concernant le choc des savoirs, Mme la Rectrice estime que la pol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mique entre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groupe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de besoins ou groupes de niveaux est due aux journalistes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. Nous lui rappelons que les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ments de langage utilis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par le premier ministre et la ministre sont pourtant diff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rents et entretiennent bien une pol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mique qui se retrouve dans toutes les salles des profs.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Un groupe de travail a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cr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avec les personnels de direction sur le sujet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pour anticiper les organisations. Nous lui expliquons que ces groupes posent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galement la question de la libert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dagogique.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Concernant les annonces sur le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 DNB et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la </w:t>
      </w:r>
      <w:r>
        <w:rPr>
          <w:outline w:val="0"/>
          <w:color w:val="005392"/>
          <w:rtl w:val="0"/>
          <w:lang w:val="pt-PT"/>
          <w14:textFill>
            <w14:solidFill>
              <w14:srgbClr w14:val="005493"/>
            </w14:solidFill>
          </w14:textFill>
        </w:rPr>
        <w:t>classe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en-US"/>
          <w14:textFill>
            <w14:solidFill>
              <w14:srgbClr w14:val="005493"/>
            </w14:solidFill>
          </w14:textFill>
        </w:rPr>
        <w:t xml:space="preserve">pa 2nde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nous demandons quel impact auront les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places 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serv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sv-SE"/>
          <w14:textFill>
            <w14:solidFill>
              <w14:srgbClr w14:val="005493"/>
            </w14:solidFill>
          </w14:textFill>
        </w:rPr>
        <w:t>es en lyc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 professionnel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compte tenu 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elles seront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« 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serv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 »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une 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 sur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autre pour les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ves orient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vers cette classe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pa lyc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e. Nous regrettons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galement les volumes horaires annonc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qui sont en de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çà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des horaires de troisi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me. Mme la Rectrice 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pond 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il risque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y avoir un probl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me effectivement pour les entr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es en LP mais que ce probl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me ne durerait 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une 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Evolution des postes enseignants et CPE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Le Rectorat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sente</w:t>
      </w:r>
      <w:r>
        <w:rPr>
          <w:outline w:val="0"/>
          <w:color w:val="005392"/>
          <w:rtl w:val="0"/>
          <w:lang w:val="en-US"/>
          <w14:textFill>
            <w14:solidFill>
              <w14:srgbClr w14:val="005493"/>
            </w14:solidFill>
          </w14:textFill>
        </w:rPr>
        <w:t xml:space="preserve"> 44,5 cr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ations de postes et 33 suppressions de poste, soit un solde positif de 11,5.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fldChar w:fldCharType="begin" w:fldLock="0"/>
      </w: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instrText xml:space="preserve"> HYPERLINK "https://nuage.unsa.org/index.php/s/rfgmNdx2tb52bze"</w:instrText>
      </w: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Vous pouvez retrouver l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int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gralit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des cr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ations/suppressions dans le document de travail (p. 3-11). </w:t>
      </w:r>
      <w:r>
        <w:rPr>
          <w:outline w:val="0"/>
          <w:color w:val="005392"/>
          <w14:textFill>
            <w14:solidFill>
              <w14:srgbClr w14:val="005493"/>
            </w14:solidFill>
          </w14:textFill>
        </w:rPr>
        <w:fldChar w:fldCharType="end" w:fldLock="0"/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Nous avons signal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en groupe de travail que la 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gularisation des postes vacants en technologie montrait bien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quel point cette discipline et ces personnels avaient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malmen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et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consid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dans ces derni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res 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es,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une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poque o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ù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les enjeux sur les nouvelles technologies ne font que cro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î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tre 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es apr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es.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UNSA Education consid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re que ces orientations vont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encontre du sens de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histoire et de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int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ê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 des jeunes g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rations.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rStyle w:val="Aucun"/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Concernant les CPE,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176 sont implant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actuellement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Le budget de la rentr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en-US"/>
          <w14:textFill>
            <w14:solidFill>
              <w14:srgbClr w14:val="005493"/>
            </w14:solidFill>
          </w14:textFill>
        </w:rPr>
        <w:t>e 2024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voit 2 suppressions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qui porteront sur 4 demi postes implant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an dernier dans des LP. Nous avons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nonc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cette politique du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« 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un pas en avant, trois pas en arri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 »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et avons rappel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notre demande de voir a minima un poste entier par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tablissement, ce qui 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est toujours pas le cas aujourd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hui.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Des moyens provisoires (contractuels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ou stagiaires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) seront maintenus l</w:t>
      </w:r>
      <w:r>
        <w:rPr>
          <w:outline w:val="0"/>
          <w:color w:val="005392"/>
          <w:rtl w:val="1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 prochaine sur ces postes pour m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nager les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tablissements.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Nous avons demand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la mise en place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un GT afin de pouvoir faire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voluer les crit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res de 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partition des CPE.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Pour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:lang w:val="ru-RU"/>
          <w14:textFill>
            <w14:solidFill>
              <w14:srgbClr w14:val="005493"/>
            </w14:solidFill>
          </w14:textFill>
        </w:rPr>
        <w:t>: 0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Contre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: 8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Abstentions : 2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(UNSA Education)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En responsabilit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nous avons choisi de nous abstenir pour plusieurs raisons : premi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rement pour saluer un solde positif de cr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ations de postes, deuxi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mement puisque la quasi totalit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des situations que nous avons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fendues pendant toutes les phases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laboration de cette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volution des postes ont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prises en compte, enfin pour ne pas ralentir le processus de mutations intra-acad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miques qui est directement corr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la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sentation de cette liste en CSAA.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Nous continuons de penser 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en tant que repr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sentants du personnel nous sommes porteurs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une grande responsabilit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et que nos votes engagent la profession, il aurait peut-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ê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tre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plus simple de faire un vote sanction mais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tait pas la question qui nous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tait soumise.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UNSA Education ne pouvait pas voter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« 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pour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 »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en raison du nombre de suppressions et plus encore pour la symbolique que repr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sente la fermeture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finitive des 9 postes en technologie dont 8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taient vacants.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Evolution des postes d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infirmier scolaire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116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postes sont actuellement implant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dans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acad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mie.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Depuis plusieurs 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es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UNSA Education demande la transformation des postes log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s en postes externat, cela correspond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une vraie sp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cificit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territoriale et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une attente de nos coll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gues.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Pour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: 9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(UNSA Education)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Contre : 0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Abstention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: 1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Evolution des postes administratifs et ITRF et requalification des fili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res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427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postes administratifs sont actuellement </w:t>
      </w:r>
      <w:r>
        <w:rPr>
          <w:outline w:val="0"/>
          <w:color w:val="005392"/>
          <w:rtl w:val="0"/>
          <w:lang w:val="es-ES_tradnl"/>
          <w14:textFill>
            <w14:solidFill>
              <w14:srgbClr w14:val="005493"/>
            </w14:solidFill>
          </w14:textFill>
        </w:rPr>
        <w:t>implant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es-ES_tradnl"/>
          <w14:textFill>
            <w14:solidFill>
              <w14:srgbClr w14:val="005493"/>
            </w14:solidFill>
          </w14:textFill>
        </w:rPr>
        <w:t xml:space="preserve">s en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Etablissements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: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86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postes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ITRF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Le Rectorat doit rendre cette 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 2 postes alors 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il avait,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aussi, b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fici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de dotations les 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es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dentes notamment au titre de la politique en faveur de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apprentissage.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Le SG explique 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il ne souhaite pas faire porter cet effort sur les structures, le Rectorat fait donc le choix de supprimer deux postes actuellement vacants qui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taient normalement destin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du remplacement. 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pt-PT"/>
          <w14:textFill>
            <w14:solidFill>
              <w14:srgbClr w14:val="005493"/>
            </w14:solidFill>
          </w14:textFill>
        </w:rPr>
        <w:t>1 ETP administratif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1 ETP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ITRF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Pour : 0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Contre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: 9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(UNSA Education)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Abstention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: 1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Le plan de requalification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est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retrouver dans notre dossier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galement.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Nous saluons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effort qui est fait notamment sur la requalification de postes de secr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taires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EPLE qui continuent de passer de C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B, il reste encore des postes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qualifier mais le Rectorat explique 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il est contraint de se limiter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un certain nombre par an en raison des enveloppes limit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es.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Pour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: 8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(UNSA Education)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Contre : 0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Abstentions : 2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Evolution des sections sport 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tudes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fldChar w:fldCharType="begin" w:fldLock="0"/>
      </w: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instrText xml:space="preserve"> HYPERLINK "https://nuage.unsa.org/index.php/s/rfgmNdx2tb52bze"</w:instrText>
      </w: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 retrouver dans notre dossier</w:t>
      </w:r>
      <w:r>
        <w:rPr>
          <w:outline w:val="0"/>
          <w:color w:val="005392"/>
          <w14:textFill>
            <w14:solidFill>
              <w14:srgbClr w14:val="005493"/>
            </w14:solidFill>
          </w14:textFill>
        </w:rPr>
        <w:fldChar w:fldCharType="end" w:fldLock="0"/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, le Rectorat doit nous fournir plus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informations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ici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la fin de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ann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 car plusieurs sections 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taient pas encore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« 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tiquet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 »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Pour : 0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Contre : 0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Abstentions : 10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(UNSA Education)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Implantation exp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rimentale des 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classes pr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paratoires </w:t>
      </w:r>
      <w:r>
        <w:rPr>
          <w:b w:val="1"/>
          <w:bCs w:val="1"/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à </w:t>
      </w:r>
      <w:r>
        <w:rPr>
          <w:b w:val="1"/>
          <w:bCs w:val="1"/>
          <w:outline w:val="0"/>
          <w:color w:val="005392"/>
          <w:rtl w:val="0"/>
          <w:lang w:val="en-US"/>
          <w14:textFill>
            <w14:solidFill>
              <w14:srgbClr w14:val="005493"/>
            </w14:solidFill>
          </w14:textFill>
        </w:rPr>
        <w:t>la classe de 2nde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Une des principales mesures du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« 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choc des savoirs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 »…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avoir rappel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que nous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tions farouchement oppos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ce type de classes qui ne 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pondent en rien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la 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alit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des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ves les plus fragiles nous avons pu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noncer le manque de transparence sur 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installation de cette exp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rimentation.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Le Rectorat 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tend que les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tablissements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taient volontaires, mais il semblerait que les volontaires aient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quelque peu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sign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…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Aucune coh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rence ni g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ographique ni en terme de structure sur ces ouvertures.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Le rectorat a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identifi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sv-SE"/>
          <w14:textFill>
            <w14:solidFill>
              <w14:srgbClr w14:val="005493"/>
            </w14:solidFill>
          </w14:textFill>
        </w:rPr>
        <w:t xml:space="preserve"> 3 lyc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pour porter ce dispositif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la rentr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 :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Lyc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 Limosin pour la Haute-Vienne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yc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 Bourdan pour la Creuse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yc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 Cabanis pour la Corr</w:t>
      </w:r>
      <w:r>
        <w:rPr>
          <w:outline w:val="0"/>
          <w:color w:val="005392"/>
          <w:rtl w:val="0"/>
          <w:lang w:val="it-IT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ze.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Pour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:lang w:val="ru-RU"/>
          <w14:textFill>
            <w14:solidFill>
              <w14:srgbClr w14:val="005493"/>
            </w14:solidFill>
          </w14:textFill>
        </w:rPr>
        <w:t>: 0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Contre : 10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(UNSA Education)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Abstention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  <w:r>
        <w:rPr>
          <w:outline w:val="0"/>
          <w:color w:val="005392"/>
          <w:rtl w:val="0"/>
          <w:lang w:val="ru-RU"/>
          <w14:textFill>
            <w14:solidFill>
              <w14:srgbClr w14:val="005493"/>
            </w14:solidFill>
          </w14:textFill>
        </w:rPr>
        <w:t>: 0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ploiement du t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b w:val="1"/>
          <w:bCs w:val="1"/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l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travail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Le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 xml:space="preserve"> 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travail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va pouvoir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ê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tre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ploy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dans les Coll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ges et Lyc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es pour une partie des personnels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partir de septembre 2024. Les demandes devront se faire en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avril-mai 2024.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Il reste toujours le probl</w:t>
      </w:r>
      <w:r>
        <w:rPr>
          <w:outline w:val="0"/>
          <w:color w:val="005392"/>
          <w:rtl w:val="0"/>
          <w:lang w:val="it-IT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me du mat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riel informatique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que les collectivit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s disent ne pas pouvoir financer pour le moment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et le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ploiement des cl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en-US"/>
          <w14:textFill>
            <w14:solidFill>
              <w14:srgbClr w14:val="005493"/>
            </w14:solidFill>
          </w14:textFill>
        </w:rPr>
        <w:t>s OTP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pour 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curiser les acc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s depuis le domicile des agents.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Rapport Social Unique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Le RSU 2022 a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t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distribu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 aux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repr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sentants du personnel,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autres moments d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changes auront lieu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à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ce sujet. Nous regrettons qu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il soit disponible aussi tardivement mais nous saluons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galement le travail des services effectu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é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pour construire ce document.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 </w:t>
      </w: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Bilan des demandes de cong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s de formations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fldChar w:fldCharType="begin" w:fldLock="0"/>
      </w: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instrText xml:space="preserve"> HYPERLINK "https://nuage.unsa.org/index.php/s/rfgmNdx2tb52bze"</w:instrText>
      </w:r>
      <w:r>
        <w:rPr>
          <w:rStyle w:val="Hyperlink.0"/>
          <w:outline w:val="0"/>
          <w:color w:val="005392"/>
          <w14:textFill>
            <w14:solidFill>
              <w14:srgbClr w14:val="005493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Vous retrouverez le bilan dans notre dossier. </w:t>
      </w:r>
      <w:r>
        <w:rPr>
          <w:outline w:val="0"/>
          <w:color w:val="005392"/>
          <w14:textFill>
            <w14:solidFill>
              <w14:srgbClr w14:val="005493"/>
            </w14:solidFill>
          </w14:textFill>
        </w:rPr>
        <w:fldChar w:fldCharType="end" w:fldLock="0"/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b w:val="1"/>
          <w:bCs w:val="1"/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Autres informations :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es-ES_tradnl"/>
          <w14:textFill>
            <w14:solidFill>
              <w14:srgbClr w14:val="005493"/>
            </w14:solidFill>
          </w14:textFill>
        </w:rPr>
        <w:t>Nombre d</w:t>
      </w:r>
      <w:r>
        <w:rPr>
          <w:outline w:val="0"/>
          <w:color w:val="005392"/>
          <w:rtl w:val="1"/>
          <w14:textFill>
            <w14:solidFill>
              <w14:srgbClr w14:val="005493"/>
            </w14:solidFill>
          </w14:textFill>
        </w:rPr>
        <w:t>’</w:t>
      </w:r>
      <w:r>
        <w:rPr>
          <w:outline w:val="0"/>
          <w:color w:val="005392"/>
          <w:rtl w:val="0"/>
          <w:lang w:val="de-DE"/>
          <w14:textFill>
            <w14:solidFill>
              <w14:srgbClr w14:val="005493"/>
            </w14:solidFill>
          </w14:textFill>
        </w:rPr>
        <w:t>AED CDIs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é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s : 78 (22 en Creuse, 31 en Corr</w:t>
      </w:r>
      <w:r>
        <w:rPr>
          <w:outline w:val="0"/>
          <w:color w:val="005392"/>
          <w:rtl w:val="0"/>
          <w:lang w:val="it-IT"/>
          <w14:textFill>
            <w14:solidFill>
              <w14:srgbClr w14:val="005493"/>
            </w14:solidFill>
          </w14:textFill>
        </w:rPr>
        <w:t>è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ze et 25 en Haute-Vienne) </w:t>
      </w:r>
    </w:p>
    <w:p>
      <w:pPr>
        <w:pStyle w:val="Corps"/>
        <w:rPr>
          <w:outline w:val="0"/>
          <w:color w:val="005392"/>
          <w14:textFill>
            <w14:solidFill>
              <w14:srgbClr w14:val="005493"/>
            </w14:solidFill>
          </w14:textFill>
        </w:rPr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on en attend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86 en septembre 202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4</w:t>
      </w:r>
    </w:p>
    <w:p>
      <w:pPr>
        <w:pStyle w:val="Corps"/>
      </w:pP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Mouvement des AED : il doit </w:t>
      </w:r>
      <w:r>
        <w:rPr>
          <w:outline w:val="0"/>
          <w:color w:val="005392"/>
          <w:rtl w:val="0"/>
          <w14:textFill>
            <w14:solidFill>
              <w14:srgbClr w14:val="005493"/>
            </w14:solidFill>
          </w14:textFill>
        </w:rPr>
        <w:t>ê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 xml:space="preserve">tre mis en 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œ</w:t>
      </w:r>
      <w:r>
        <w:rPr>
          <w:outline w:val="0"/>
          <w:color w:val="005392"/>
          <w:rtl w:val="0"/>
          <w:lang w:val="fr-FR"/>
          <w14:textFill>
            <w14:solidFill>
              <w14:srgbClr w14:val="005493"/>
            </w14:solidFill>
          </w14:textFill>
        </w:rPr>
        <w:t>uvre</w:t>
      </w:r>
      <w:r>
        <w:rPr>
          <w:outline w:val="0"/>
          <w:color w:val="005392"/>
          <w14:textFill>
            <w14:solidFill>
              <w14:srgbClr w14:val="005493"/>
            </w14:solidFill>
          </w14:textFill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Tiret">
    <w:name w:val="Tir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