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27FE" w14:textId="359BEAEC" w:rsidR="009B4F87" w:rsidRDefault="009B4F87" w:rsidP="002773B7">
      <w:pPr>
        <w:jc w:val="center"/>
        <w:rPr>
          <w:b/>
          <w:bCs/>
          <w:lang w:val="fr-FR"/>
        </w:rPr>
      </w:pPr>
      <w:r>
        <w:rPr>
          <w:noProof/>
          <w:bdr w:val="none" w:sz="0" w:space="0" w:color="auto" w:frame="1"/>
        </w:rPr>
        <w:drawing>
          <wp:anchor distT="0" distB="0" distL="114300" distR="114300" simplePos="0" relativeHeight="251661312" behindDoc="0" locked="0" layoutInCell="1" allowOverlap="1" wp14:anchorId="2C40089A" wp14:editId="7CE8A59F">
            <wp:simplePos x="0" y="0"/>
            <wp:positionH relativeFrom="column">
              <wp:posOffset>4286250</wp:posOffset>
            </wp:positionH>
            <wp:positionV relativeFrom="paragraph">
              <wp:posOffset>-413385</wp:posOffset>
            </wp:positionV>
            <wp:extent cx="1898650" cy="100330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36332D0D" wp14:editId="540B74E0">
            <wp:simplePos x="0" y="0"/>
            <wp:positionH relativeFrom="column">
              <wp:posOffset>1881505</wp:posOffset>
            </wp:positionH>
            <wp:positionV relativeFrom="paragraph">
              <wp:posOffset>-544195</wp:posOffset>
            </wp:positionV>
            <wp:extent cx="1809750" cy="1066800"/>
            <wp:effectExtent l="0" t="0" r="0" b="0"/>
            <wp:wrapNone/>
            <wp:docPr id="2" name="Image 2" descr="UNSA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A É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04D00E37" wp14:editId="19B34ACE">
            <wp:simplePos x="0" y="0"/>
            <wp:positionH relativeFrom="margin">
              <wp:posOffset>-207645</wp:posOffset>
            </wp:positionH>
            <wp:positionV relativeFrom="paragraph">
              <wp:posOffset>-747395</wp:posOffset>
            </wp:positionV>
            <wp:extent cx="914400" cy="1438275"/>
            <wp:effectExtent l="0" t="0" r="0" b="9525"/>
            <wp:wrapNone/>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438275"/>
                    </a:xfrm>
                    <a:prstGeom prst="rect">
                      <a:avLst/>
                    </a:prstGeom>
                    <a:noFill/>
                  </pic:spPr>
                </pic:pic>
              </a:graphicData>
            </a:graphic>
            <wp14:sizeRelH relativeFrom="page">
              <wp14:pctWidth>0</wp14:pctWidth>
            </wp14:sizeRelH>
            <wp14:sizeRelV relativeFrom="page">
              <wp14:pctHeight>0</wp14:pctHeight>
            </wp14:sizeRelV>
          </wp:anchor>
        </w:drawing>
      </w:r>
    </w:p>
    <w:p w14:paraId="37248195" w14:textId="7DE8A7CB" w:rsidR="009B4F87" w:rsidRDefault="009B4F87" w:rsidP="002773B7">
      <w:pPr>
        <w:jc w:val="center"/>
        <w:rPr>
          <w:b/>
          <w:bCs/>
          <w:lang w:val="fr-FR"/>
        </w:rPr>
      </w:pPr>
    </w:p>
    <w:p w14:paraId="2B181A17" w14:textId="28416A20" w:rsidR="009B4F87" w:rsidRDefault="009B4F87" w:rsidP="002773B7">
      <w:pPr>
        <w:jc w:val="center"/>
        <w:rPr>
          <w:b/>
          <w:bCs/>
          <w:lang w:val="fr-FR"/>
        </w:rPr>
      </w:pPr>
    </w:p>
    <w:p w14:paraId="1E12DF45" w14:textId="796CEB80" w:rsidR="002773B7" w:rsidRPr="002627D7" w:rsidRDefault="002773B7" w:rsidP="002773B7">
      <w:pPr>
        <w:jc w:val="center"/>
        <w:rPr>
          <w:b/>
          <w:bCs/>
          <w:sz w:val="36"/>
          <w:szCs w:val="36"/>
          <w:lang w:val="fr-FR"/>
        </w:rPr>
      </w:pPr>
      <w:r w:rsidRPr="002627D7">
        <w:rPr>
          <w:b/>
          <w:bCs/>
          <w:sz w:val="36"/>
          <w:szCs w:val="36"/>
          <w:lang w:val="fr-FR"/>
        </w:rPr>
        <w:t xml:space="preserve">Compte rendu du groupe de travail sur la rémunération des AESH de l’académie d’Amiens  </w:t>
      </w:r>
      <w:r w:rsidR="002627D7">
        <w:rPr>
          <w:b/>
          <w:bCs/>
          <w:sz w:val="36"/>
          <w:szCs w:val="36"/>
          <w:lang w:val="fr-FR"/>
        </w:rPr>
        <w:t>d</w:t>
      </w:r>
      <w:r w:rsidRPr="002627D7">
        <w:rPr>
          <w:b/>
          <w:bCs/>
          <w:sz w:val="36"/>
          <w:szCs w:val="36"/>
          <w:lang w:val="fr-FR"/>
        </w:rPr>
        <w:t>u 18 février 2021</w:t>
      </w:r>
    </w:p>
    <w:p w14:paraId="4E3ED353" w14:textId="77777777" w:rsidR="002773B7" w:rsidRDefault="002773B7">
      <w:pPr>
        <w:rPr>
          <w:lang w:val="fr-FR"/>
        </w:rPr>
      </w:pPr>
    </w:p>
    <w:p w14:paraId="0928DE35" w14:textId="77777777" w:rsidR="002773B7" w:rsidRDefault="002773B7" w:rsidP="00457855">
      <w:pPr>
        <w:jc w:val="both"/>
        <w:rPr>
          <w:lang w:val="fr-FR"/>
        </w:rPr>
      </w:pPr>
      <w:r>
        <w:rPr>
          <w:lang w:val="fr-FR"/>
        </w:rPr>
        <w:t>Syndicats présents :  UNSA EDUCATION,  SGEN CFDT, SNALC, FSU, FO</w:t>
      </w:r>
    </w:p>
    <w:p w14:paraId="59043649" w14:textId="7973FB4C" w:rsidR="007957E0" w:rsidRDefault="007957E0" w:rsidP="00457855">
      <w:pPr>
        <w:jc w:val="both"/>
        <w:rPr>
          <w:lang w:val="fr-FR"/>
        </w:rPr>
      </w:pPr>
      <w:r>
        <w:rPr>
          <w:lang w:val="fr-FR"/>
        </w:rPr>
        <w:t>Globalement il existe une convergence syndicale pour essayer d’améliorer la rémunération et les conditions de travail de nos collègues les plus précaire</w:t>
      </w:r>
      <w:r w:rsidR="00340712">
        <w:rPr>
          <w:lang w:val="fr-FR"/>
        </w:rPr>
        <w:t>s</w:t>
      </w:r>
      <w:r>
        <w:rPr>
          <w:lang w:val="fr-FR"/>
        </w:rPr>
        <w:t>.</w:t>
      </w:r>
    </w:p>
    <w:p w14:paraId="767523FA" w14:textId="0472EB0F" w:rsidR="00457855" w:rsidRDefault="00457855" w:rsidP="00457855">
      <w:pPr>
        <w:jc w:val="both"/>
        <w:rPr>
          <w:lang w:val="fr-FR"/>
        </w:rPr>
      </w:pPr>
      <w:r>
        <w:rPr>
          <w:lang w:val="fr-FR"/>
        </w:rPr>
        <w:t xml:space="preserve">Volonté </w:t>
      </w:r>
      <w:r w:rsidR="00F638C1">
        <w:rPr>
          <w:lang w:val="fr-FR"/>
        </w:rPr>
        <w:t xml:space="preserve">du Recteur et </w:t>
      </w:r>
      <w:r>
        <w:rPr>
          <w:lang w:val="fr-FR"/>
        </w:rPr>
        <w:t>de la S</w:t>
      </w:r>
      <w:r w:rsidR="00EB356E">
        <w:rPr>
          <w:lang w:val="fr-FR"/>
        </w:rPr>
        <w:t>ecrétaire Générale, Mme Viot,</w:t>
      </w:r>
      <w:r>
        <w:rPr>
          <w:lang w:val="fr-FR"/>
        </w:rPr>
        <w:t xml:space="preserve"> de faire évoluer les choses, de mieux informer les collègues et de faire converger les modes de gestion des trois départements.</w:t>
      </w:r>
    </w:p>
    <w:p w14:paraId="5C2782C7" w14:textId="7D8BC255" w:rsidR="00D31830" w:rsidRPr="007D5202" w:rsidRDefault="00D31830" w:rsidP="00457855">
      <w:pPr>
        <w:jc w:val="both"/>
        <w:rPr>
          <w:b/>
          <w:bCs/>
          <w:u w:val="single"/>
          <w:lang w:val="fr-FR"/>
        </w:rPr>
      </w:pPr>
      <w:r w:rsidRPr="007D5202">
        <w:rPr>
          <w:b/>
          <w:bCs/>
          <w:highlight w:val="cyan"/>
          <w:u w:val="single"/>
          <w:lang w:val="fr-FR"/>
        </w:rPr>
        <w:t>Nombre d’AESH dans l’académie :</w:t>
      </w:r>
    </w:p>
    <w:tbl>
      <w:tblPr>
        <w:tblStyle w:val="Grilledutableau"/>
        <w:tblW w:w="0" w:type="auto"/>
        <w:tblInd w:w="2718" w:type="dxa"/>
        <w:tblLook w:val="04A0" w:firstRow="1" w:lastRow="0" w:firstColumn="1" w:lastColumn="0" w:noHBand="0" w:noVBand="1"/>
      </w:tblPr>
      <w:tblGrid>
        <w:gridCol w:w="1004"/>
        <w:gridCol w:w="1543"/>
        <w:gridCol w:w="1417"/>
      </w:tblGrid>
      <w:tr w:rsidR="00D31830" w14:paraId="72478369" w14:textId="77777777" w:rsidTr="004F3301">
        <w:tc>
          <w:tcPr>
            <w:tcW w:w="1004" w:type="dxa"/>
          </w:tcPr>
          <w:p w14:paraId="22CE195A" w14:textId="77777777" w:rsidR="00D31830" w:rsidRDefault="00D31830" w:rsidP="00457855">
            <w:pPr>
              <w:jc w:val="both"/>
              <w:rPr>
                <w:lang w:val="fr-FR"/>
              </w:rPr>
            </w:pPr>
          </w:p>
        </w:tc>
        <w:tc>
          <w:tcPr>
            <w:tcW w:w="1543" w:type="dxa"/>
            <w:shd w:val="clear" w:color="auto" w:fill="00B0F0"/>
          </w:tcPr>
          <w:p w14:paraId="57AF57AD" w14:textId="4C33C1EC" w:rsidR="00D31830" w:rsidRPr="00D31830" w:rsidRDefault="00D31830" w:rsidP="004F3301">
            <w:pPr>
              <w:jc w:val="center"/>
              <w:rPr>
                <w:b/>
                <w:bCs/>
                <w:lang w:val="fr-FR"/>
              </w:rPr>
            </w:pPr>
            <w:r w:rsidRPr="00D31830">
              <w:rPr>
                <w:b/>
                <w:bCs/>
                <w:lang w:val="fr-FR"/>
              </w:rPr>
              <w:t>Titre 2</w:t>
            </w:r>
          </w:p>
        </w:tc>
        <w:tc>
          <w:tcPr>
            <w:tcW w:w="1417" w:type="dxa"/>
            <w:shd w:val="clear" w:color="auto" w:fill="FF0000"/>
          </w:tcPr>
          <w:p w14:paraId="7CC37AB6" w14:textId="651CB2D1" w:rsidR="00D31830" w:rsidRPr="00D31830" w:rsidRDefault="00D31830" w:rsidP="004F3301">
            <w:pPr>
              <w:jc w:val="center"/>
              <w:rPr>
                <w:b/>
                <w:bCs/>
                <w:lang w:val="fr-FR"/>
              </w:rPr>
            </w:pPr>
            <w:r w:rsidRPr="00D31830">
              <w:rPr>
                <w:b/>
                <w:bCs/>
                <w:lang w:val="fr-FR"/>
              </w:rPr>
              <w:t>Hors titre 2</w:t>
            </w:r>
          </w:p>
        </w:tc>
      </w:tr>
      <w:tr w:rsidR="00D31830" w14:paraId="534C59BC" w14:textId="77777777" w:rsidTr="004F3301">
        <w:tc>
          <w:tcPr>
            <w:tcW w:w="1004" w:type="dxa"/>
          </w:tcPr>
          <w:p w14:paraId="3C89578B" w14:textId="198A7F92" w:rsidR="00D31830" w:rsidRPr="004F3301" w:rsidRDefault="00D31830" w:rsidP="00457855">
            <w:pPr>
              <w:jc w:val="both"/>
              <w:rPr>
                <w:b/>
                <w:bCs/>
                <w:lang w:val="fr-FR"/>
              </w:rPr>
            </w:pPr>
            <w:r w:rsidRPr="004F3301">
              <w:rPr>
                <w:b/>
                <w:bCs/>
                <w:lang w:val="fr-FR"/>
              </w:rPr>
              <w:t>Aisne</w:t>
            </w:r>
          </w:p>
        </w:tc>
        <w:tc>
          <w:tcPr>
            <w:tcW w:w="1543" w:type="dxa"/>
            <w:shd w:val="clear" w:color="auto" w:fill="00B0F0"/>
          </w:tcPr>
          <w:p w14:paraId="7BF047D5" w14:textId="1F18CA8D" w:rsidR="00D31830" w:rsidRPr="00D31830" w:rsidRDefault="00D31830" w:rsidP="004F3301">
            <w:pPr>
              <w:jc w:val="center"/>
              <w:rPr>
                <w:b/>
                <w:bCs/>
                <w:lang w:val="fr-FR"/>
              </w:rPr>
            </w:pPr>
            <w:r w:rsidRPr="00D31830">
              <w:rPr>
                <w:b/>
                <w:bCs/>
                <w:lang w:val="fr-FR"/>
              </w:rPr>
              <w:t>286</w:t>
            </w:r>
          </w:p>
        </w:tc>
        <w:tc>
          <w:tcPr>
            <w:tcW w:w="1417" w:type="dxa"/>
            <w:shd w:val="clear" w:color="auto" w:fill="FF0000"/>
          </w:tcPr>
          <w:p w14:paraId="4C00BC80" w14:textId="731658E4" w:rsidR="00D31830" w:rsidRPr="00D31830" w:rsidRDefault="00D31830" w:rsidP="004F3301">
            <w:pPr>
              <w:jc w:val="center"/>
              <w:rPr>
                <w:b/>
                <w:bCs/>
                <w:lang w:val="fr-FR"/>
              </w:rPr>
            </w:pPr>
            <w:r w:rsidRPr="00D31830">
              <w:rPr>
                <w:b/>
                <w:bCs/>
                <w:lang w:val="fr-FR"/>
              </w:rPr>
              <w:t>715</w:t>
            </w:r>
          </w:p>
        </w:tc>
      </w:tr>
      <w:tr w:rsidR="00D31830" w14:paraId="1330BD4C" w14:textId="77777777" w:rsidTr="004F3301">
        <w:tc>
          <w:tcPr>
            <w:tcW w:w="1004" w:type="dxa"/>
          </w:tcPr>
          <w:p w14:paraId="331B55F8" w14:textId="00672253" w:rsidR="00D31830" w:rsidRPr="004F3301" w:rsidRDefault="00D31830" w:rsidP="00457855">
            <w:pPr>
              <w:jc w:val="both"/>
              <w:rPr>
                <w:b/>
                <w:bCs/>
                <w:lang w:val="fr-FR"/>
              </w:rPr>
            </w:pPr>
            <w:r w:rsidRPr="004F3301">
              <w:rPr>
                <w:b/>
                <w:bCs/>
                <w:lang w:val="fr-FR"/>
              </w:rPr>
              <w:t>Oise</w:t>
            </w:r>
          </w:p>
        </w:tc>
        <w:tc>
          <w:tcPr>
            <w:tcW w:w="1543" w:type="dxa"/>
            <w:shd w:val="clear" w:color="auto" w:fill="00B0F0"/>
          </w:tcPr>
          <w:p w14:paraId="3ABDC850" w14:textId="723B46F4" w:rsidR="00D31830" w:rsidRPr="00D31830" w:rsidRDefault="00D31830" w:rsidP="004F3301">
            <w:pPr>
              <w:jc w:val="center"/>
              <w:rPr>
                <w:b/>
                <w:bCs/>
                <w:lang w:val="fr-FR"/>
              </w:rPr>
            </w:pPr>
            <w:r w:rsidRPr="00D31830">
              <w:rPr>
                <w:b/>
                <w:bCs/>
                <w:lang w:val="fr-FR"/>
              </w:rPr>
              <w:t>423</w:t>
            </w:r>
          </w:p>
        </w:tc>
        <w:tc>
          <w:tcPr>
            <w:tcW w:w="1417" w:type="dxa"/>
            <w:shd w:val="clear" w:color="auto" w:fill="FF0000"/>
          </w:tcPr>
          <w:p w14:paraId="1DBA67E7" w14:textId="07A6A080" w:rsidR="00D31830" w:rsidRPr="00D31830" w:rsidRDefault="00D31830" w:rsidP="004F3301">
            <w:pPr>
              <w:jc w:val="center"/>
              <w:rPr>
                <w:b/>
                <w:bCs/>
                <w:lang w:val="fr-FR"/>
              </w:rPr>
            </w:pPr>
            <w:r w:rsidRPr="00D31830">
              <w:rPr>
                <w:b/>
                <w:bCs/>
                <w:lang w:val="fr-FR"/>
              </w:rPr>
              <w:t>684</w:t>
            </w:r>
          </w:p>
        </w:tc>
      </w:tr>
      <w:tr w:rsidR="00D31830" w14:paraId="6D94D895" w14:textId="77777777" w:rsidTr="004F3301">
        <w:tc>
          <w:tcPr>
            <w:tcW w:w="1004" w:type="dxa"/>
          </w:tcPr>
          <w:p w14:paraId="4FDABED0" w14:textId="684C54D5" w:rsidR="00D31830" w:rsidRPr="004F3301" w:rsidRDefault="00D31830" w:rsidP="00457855">
            <w:pPr>
              <w:jc w:val="both"/>
              <w:rPr>
                <w:b/>
                <w:bCs/>
                <w:lang w:val="fr-FR"/>
              </w:rPr>
            </w:pPr>
            <w:r w:rsidRPr="004F3301">
              <w:rPr>
                <w:b/>
                <w:bCs/>
                <w:lang w:val="fr-FR"/>
              </w:rPr>
              <w:t>Somme</w:t>
            </w:r>
          </w:p>
        </w:tc>
        <w:tc>
          <w:tcPr>
            <w:tcW w:w="1543" w:type="dxa"/>
            <w:shd w:val="clear" w:color="auto" w:fill="00B0F0"/>
          </w:tcPr>
          <w:p w14:paraId="15D6FFDE" w14:textId="3D7ADBD4" w:rsidR="00D31830" w:rsidRPr="00D31830" w:rsidRDefault="00D31830" w:rsidP="004F3301">
            <w:pPr>
              <w:jc w:val="center"/>
              <w:rPr>
                <w:b/>
                <w:bCs/>
                <w:lang w:val="fr-FR"/>
              </w:rPr>
            </w:pPr>
            <w:r w:rsidRPr="00D31830">
              <w:rPr>
                <w:b/>
                <w:bCs/>
                <w:lang w:val="fr-FR"/>
              </w:rPr>
              <w:t>279</w:t>
            </w:r>
          </w:p>
        </w:tc>
        <w:tc>
          <w:tcPr>
            <w:tcW w:w="1417" w:type="dxa"/>
            <w:shd w:val="clear" w:color="auto" w:fill="FF0000"/>
          </w:tcPr>
          <w:p w14:paraId="74229401" w14:textId="0BF7C379" w:rsidR="00D31830" w:rsidRPr="00D31830" w:rsidRDefault="00D31830" w:rsidP="004F3301">
            <w:pPr>
              <w:jc w:val="center"/>
              <w:rPr>
                <w:b/>
                <w:bCs/>
                <w:lang w:val="fr-FR"/>
              </w:rPr>
            </w:pPr>
            <w:r w:rsidRPr="00D31830">
              <w:rPr>
                <w:b/>
                <w:bCs/>
                <w:lang w:val="fr-FR"/>
              </w:rPr>
              <w:t>457</w:t>
            </w:r>
          </w:p>
        </w:tc>
      </w:tr>
    </w:tbl>
    <w:p w14:paraId="48CAF32B" w14:textId="77777777" w:rsidR="00D31830" w:rsidRDefault="00D31830" w:rsidP="00457855">
      <w:pPr>
        <w:jc w:val="both"/>
        <w:rPr>
          <w:lang w:val="fr-FR"/>
        </w:rPr>
      </w:pPr>
    </w:p>
    <w:p w14:paraId="75AB2791" w14:textId="43CB9E81" w:rsidR="00D31830" w:rsidRPr="007D5202" w:rsidRDefault="00D31830" w:rsidP="00457855">
      <w:pPr>
        <w:jc w:val="both"/>
        <w:rPr>
          <w:b/>
          <w:bCs/>
          <w:i/>
          <w:iCs/>
          <w:lang w:val="fr-FR"/>
        </w:rPr>
      </w:pPr>
      <w:r w:rsidRPr="007D5202">
        <w:rPr>
          <w:b/>
          <w:bCs/>
          <w:i/>
          <w:iCs/>
          <w:lang w:val="fr-FR"/>
        </w:rPr>
        <w:t>Titre 2 : AESH gérés et rémunérés par la DSDEN (payés par la DDFIP de la Somme)</w:t>
      </w:r>
    </w:p>
    <w:p w14:paraId="758C9EAA" w14:textId="1FC55DFA" w:rsidR="00D31830" w:rsidRPr="007D5202" w:rsidRDefault="00D31830" w:rsidP="00457855">
      <w:pPr>
        <w:jc w:val="both"/>
        <w:rPr>
          <w:b/>
          <w:bCs/>
          <w:i/>
          <w:iCs/>
          <w:lang w:val="fr-FR"/>
        </w:rPr>
      </w:pPr>
      <w:r w:rsidRPr="007D5202">
        <w:rPr>
          <w:b/>
          <w:bCs/>
          <w:i/>
          <w:iCs/>
          <w:lang w:val="fr-FR"/>
        </w:rPr>
        <w:t>Hors titre 2 : AESH gérés par un établissement mutualisateur</w:t>
      </w:r>
    </w:p>
    <w:p w14:paraId="4ACD004B" w14:textId="450F95C8" w:rsidR="00457855" w:rsidRPr="004429A2" w:rsidRDefault="004429A2" w:rsidP="00457855">
      <w:pPr>
        <w:jc w:val="both"/>
        <w:rPr>
          <w:b/>
          <w:bCs/>
          <w:u w:val="single"/>
          <w:lang w:val="fr-FR"/>
        </w:rPr>
      </w:pPr>
      <w:r w:rsidRPr="007D5202">
        <w:rPr>
          <w:b/>
          <w:bCs/>
          <w:highlight w:val="cyan"/>
          <w:u w:val="single"/>
          <w:lang w:val="fr-FR"/>
        </w:rPr>
        <w:t>La grille de rémunération :</w:t>
      </w:r>
    </w:p>
    <w:p w14:paraId="1793A698" w14:textId="77777777" w:rsidR="00961CA0" w:rsidRDefault="00457855" w:rsidP="00457855">
      <w:pPr>
        <w:jc w:val="both"/>
        <w:rPr>
          <w:lang w:val="fr-FR"/>
        </w:rPr>
      </w:pPr>
      <w:r>
        <w:rPr>
          <w:lang w:val="fr-FR"/>
        </w:rPr>
        <w:t>La récente augmentation du SMIC rend la grille de rémunération actuelle obsolète.</w:t>
      </w:r>
    </w:p>
    <w:p w14:paraId="179963D5" w14:textId="1CFE861C" w:rsidR="004429A2" w:rsidRDefault="00457855" w:rsidP="00457855">
      <w:pPr>
        <w:jc w:val="both"/>
        <w:rPr>
          <w:lang w:val="fr-FR"/>
        </w:rPr>
      </w:pPr>
      <w:r>
        <w:rPr>
          <w:lang w:val="fr-FR"/>
        </w:rPr>
        <w:t xml:space="preserve"> </w:t>
      </w:r>
      <w:r w:rsidRPr="00961CA0">
        <w:rPr>
          <w:b/>
          <w:bCs/>
          <w:lang w:val="fr-FR"/>
        </w:rPr>
        <w:t>Plus personne ne doit être payé en dessous de l’indice 332</w:t>
      </w:r>
      <w:r w:rsidR="00961CA0">
        <w:rPr>
          <w:b/>
          <w:bCs/>
          <w:lang w:val="fr-FR"/>
        </w:rPr>
        <w:t xml:space="preserve"> (contre 329 précédemment)</w:t>
      </w:r>
      <w:r>
        <w:rPr>
          <w:lang w:val="fr-FR"/>
        </w:rPr>
        <w:t>. Une nouvelle grille va être présenté</w:t>
      </w:r>
      <w:r w:rsidR="00340712">
        <w:rPr>
          <w:lang w:val="fr-FR"/>
        </w:rPr>
        <w:t>e</w:t>
      </w:r>
      <w:r>
        <w:rPr>
          <w:lang w:val="fr-FR"/>
        </w:rPr>
        <w:t xml:space="preserve"> au Comité Technique Académique</w:t>
      </w:r>
      <w:r w:rsidR="004429A2">
        <w:rPr>
          <w:lang w:val="fr-FR"/>
        </w:rPr>
        <w:t>. Elle devrait être très proche du modèle ci-dessous :</w:t>
      </w:r>
    </w:p>
    <w:tbl>
      <w:tblPr>
        <w:tblStyle w:val="Grilledutableau"/>
        <w:tblW w:w="8075" w:type="dxa"/>
        <w:tblLook w:val="04A0" w:firstRow="1" w:lastRow="0" w:firstColumn="1" w:lastColumn="0" w:noHBand="0" w:noVBand="1"/>
      </w:tblPr>
      <w:tblGrid>
        <w:gridCol w:w="1342"/>
        <w:gridCol w:w="1488"/>
        <w:gridCol w:w="3261"/>
        <w:gridCol w:w="1984"/>
      </w:tblGrid>
      <w:tr w:rsidR="00961CA0" w:rsidRPr="00961CA0" w14:paraId="065C79F8" w14:textId="77777777" w:rsidTr="00961CA0">
        <w:tc>
          <w:tcPr>
            <w:tcW w:w="1342" w:type="dxa"/>
            <w:vMerge w:val="restart"/>
            <w:shd w:val="clear" w:color="auto" w:fill="D0CECE" w:themeFill="background2" w:themeFillShade="E6"/>
          </w:tcPr>
          <w:p w14:paraId="6E9F149A" w14:textId="77777777" w:rsidR="00961CA0" w:rsidRDefault="00961CA0" w:rsidP="003C500F">
            <w:pPr>
              <w:jc w:val="both"/>
              <w:rPr>
                <w:b/>
                <w:bCs/>
                <w:lang w:val="fr-FR"/>
              </w:rPr>
            </w:pPr>
          </w:p>
          <w:p w14:paraId="0B65F4D4" w14:textId="77777777" w:rsidR="00961CA0" w:rsidRDefault="00961CA0" w:rsidP="003C500F">
            <w:pPr>
              <w:jc w:val="both"/>
              <w:rPr>
                <w:b/>
                <w:bCs/>
                <w:lang w:val="fr-FR"/>
              </w:rPr>
            </w:pPr>
          </w:p>
          <w:p w14:paraId="5BA358C7" w14:textId="77777777" w:rsidR="00961CA0" w:rsidRDefault="00961CA0" w:rsidP="003C500F">
            <w:pPr>
              <w:jc w:val="both"/>
              <w:rPr>
                <w:b/>
                <w:bCs/>
                <w:lang w:val="fr-FR"/>
              </w:rPr>
            </w:pPr>
          </w:p>
          <w:p w14:paraId="58CF9AA7" w14:textId="554BCEE5" w:rsidR="00961CA0" w:rsidRPr="00961CA0" w:rsidRDefault="00961CA0" w:rsidP="00961CA0">
            <w:pPr>
              <w:jc w:val="center"/>
              <w:rPr>
                <w:b/>
                <w:bCs/>
                <w:lang w:val="fr-FR"/>
              </w:rPr>
            </w:pPr>
            <w:r>
              <w:rPr>
                <w:b/>
                <w:bCs/>
                <w:lang w:val="fr-FR"/>
              </w:rPr>
              <w:t>CDI</w:t>
            </w:r>
          </w:p>
        </w:tc>
        <w:tc>
          <w:tcPr>
            <w:tcW w:w="1488" w:type="dxa"/>
            <w:shd w:val="clear" w:color="auto" w:fill="8496B0" w:themeFill="text2" w:themeFillTint="99"/>
          </w:tcPr>
          <w:p w14:paraId="76023161" w14:textId="65995B9E" w:rsidR="00961CA0" w:rsidRPr="00961CA0" w:rsidRDefault="00961CA0" w:rsidP="003C500F">
            <w:pPr>
              <w:jc w:val="both"/>
              <w:rPr>
                <w:b/>
                <w:bCs/>
                <w:lang w:val="fr-FR"/>
              </w:rPr>
            </w:pPr>
            <w:r>
              <w:rPr>
                <w:b/>
                <w:bCs/>
                <w:lang w:val="fr-FR"/>
              </w:rPr>
              <w:t>Indice</w:t>
            </w:r>
          </w:p>
        </w:tc>
        <w:tc>
          <w:tcPr>
            <w:tcW w:w="3261" w:type="dxa"/>
            <w:shd w:val="clear" w:color="auto" w:fill="FFD966" w:themeFill="accent4" w:themeFillTint="99"/>
          </w:tcPr>
          <w:p w14:paraId="4D2D3EB0" w14:textId="72185CE2" w:rsidR="00961CA0" w:rsidRPr="00961CA0" w:rsidRDefault="00961CA0" w:rsidP="003C500F">
            <w:pPr>
              <w:jc w:val="both"/>
              <w:rPr>
                <w:b/>
                <w:bCs/>
                <w:lang w:val="fr-FR"/>
              </w:rPr>
            </w:pPr>
            <w:r>
              <w:rPr>
                <w:b/>
                <w:bCs/>
                <w:lang w:val="fr-FR"/>
              </w:rPr>
              <w:t>Ancienneté</w:t>
            </w:r>
          </w:p>
        </w:tc>
        <w:tc>
          <w:tcPr>
            <w:tcW w:w="1984" w:type="dxa"/>
            <w:shd w:val="clear" w:color="auto" w:fill="92D050"/>
          </w:tcPr>
          <w:p w14:paraId="2F6CDCC6" w14:textId="6886E549" w:rsidR="00961CA0" w:rsidRPr="00961CA0" w:rsidRDefault="00961CA0" w:rsidP="00961CA0">
            <w:pPr>
              <w:jc w:val="center"/>
              <w:rPr>
                <w:b/>
                <w:bCs/>
                <w:lang w:val="fr-FR"/>
              </w:rPr>
            </w:pPr>
            <w:r>
              <w:rPr>
                <w:b/>
                <w:bCs/>
                <w:lang w:val="fr-FR"/>
              </w:rPr>
              <w:t>Indice net majoré</w:t>
            </w:r>
          </w:p>
        </w:tc>
      </w:tr>
      <w:tr w:rsidR="00961CA0" w:rsidRPr="00961CA0" w14:paraId="0914C231" w14:textId="77777777" w:rsidTr="00961CA0">
        <w:tc>
          <w:tcPr>
            <w:tcW w:w="1342" w:type="dxa"/>
            <w:vMerge/>
            <w:shd w:val="clear" w:color="auto" w:fill="D0CECE" w:themeFill="background2" w:themeFillShade="E6"/>
          </w:tcPr>
          <w:p w14:paraId="6154F151" w14:textId="77777777" w:rsidR="00961CA0" w:rsidRPr="00961CA0" w:rsidRDefault="00961CA0" w:rsidP="003C500F">
            <w:pPr>
              <w:jc w:val="both"/>
              <w:rPr>
                <w:b/>
                <w:bCs/>
                <w:lang w:val="fr-FR"/>
              </w:rPr>
            </w:pPr>
          </w:p>
        </w:tc>
        <w:tc>
          <w:tcPr>
            <w:tcW w:w="1488" w:type="dxa"/>
            <w:shd w:val="clear" w:color="auto" w:fill="8496B0" w:themeFill="text2" w:themeFillTint="99"/>
          </w:tcPr>
          <w:p w14:paraId="0D627900" w14:textId="1C773793" w:rsidR="00961CA0" w:rsidRPr="00961CA0" w:rsidRDefault="00961CA0" w:rsidP="003C500F">
            <w:pPr>
              <w:jc w:val="both"/>
              <w:rPr>
                <w:b/>
                <w:bCs/>
                <w:lang w:val="fr-FR"/>
              </w:rPr>
            </w:pPr>
            <w:r>
              <w:rPr>
                <w:b/>
                <w:bCs/>
                <w:lang w:val="fr-FR"/>
              </w:rPr>
              <w:t>Indice 7</w:t>
            </w:r>
          </w:p>
        </w:tc>
        <w:tc>
          <w:tcPr>
            <w:tcW w:w="3261" w:type="dxa"/>
            <w:shd w:val="clear" w:color="auto" w:fill="FFD966" w:themeFill="accent4" w:themeFillTint="99"/>
          </w:tcPr>
          <w:p w14:paraId="15C8B750" w14:textId="1D6CAA33" w:rsidR="00961CA0" w:rsidRPr="00961CA0" w:rsidRDefault="00961CA0" w:rsidP="003C500F">
            <w:pPr>
              <w:jc w:val="both"/>
              <w:rPr>
                <w:b/>
                <w:bCs/>
                <w:lang w:val="fr-FR"/>
              </w:rPr>
            </w:pPr>
            <w:r>
              <w:rPr>
                <w:b/>
                <w:bCs/>
                <w:sz w:val="16"/>
                <w:szCs w:val="16"/>
                <w:lang w:val="fr-FR"/>
              </w:rPr>
              <w:t>Au delà de 16 ans</w:t>
            </w:r>
            <w:r w:rsidRPr="00961CA0">
              <w:rPr>
                <w:b/>
                <w:bCs/>
                <w:sz w:val="16"/>
                <w:szCs w:val="16"/>
                <w:lang w:val="fr-FR"/>
              </w:rPr>
              <w:t xml:space="preserve"> d’ancienneté de services</w:t>
            </w:r>
          </w:p>
        </w:tc>
        <w:tc>
          <w:tcPr>
            <w:tcW w:w="1984" w:type="dxa"/>
            <w:shd w:val="clear" w:color="auto" w:fill="92D050"/>
          </w:tcPr>
          <w:p w14:paraId="12BAAC96" w14:textId="4A73E952" w:rsidR="00961CA0" w:rsidRPr="00961CA0" w:rsidRDefault="00961CA0" w:rsidP="00961CA0">
            <w:pPr>
              <w:jc w:val="center"/>
              <w:rPr>
                <w:b/>
                <w:bCs/>
                <w:lang w:val="fr-FR"/>
              </w:rPr>
            </w:pPr>
            <w:r w:rsidRPr="00961CA0">
              <w:rPr>
                <w:b/>
                <w:bCs/>
                <w:lang w:val="fr-FR"/>
              </w:rPr>
              <w:t>363</w:t>
            </w:r>
          </w:p>
        </w:tc>
      </w:tr>
      <w:tr w:rsidR="00961CA0" w:rsidRPr="00961CA0" w14:paraId="012888CD" w14:textId="77777777" w:rsidTr="00961CA0">
        <w:tc>
          <w:tcPr>
            <w:tcW w:w="1342" w:type="dxa"/>
            <w:vMerge/>
            <w:shd w:val="clear" w:color="auto" w:fill="D0CECE" w:themeFill="background2" w:themeFillShade="E6"/>
          </w:tcPr>
          <w:p w14:paraId="76C3992E" w14:textId="77777777" w:rsidR="00961CA0" w:rsidRPr="00961CA0" w:rsidRDefault="00961CA0" w:rsidP="003C500F">
            <w:pPr>
              <w:jc w:val="both"/>
              <w:rPr>
                <w:b/>
                <w:bCs/>
                <w:lang w:val="fr-FR"/>
              </w:rPr>
            </w:pPr>
          </w:p>
        </w:tc>
        <w:tc>
          <w:tcPr>
            <w:tcW w:w="1488" w:type="dxa"/>
            <w:shd w:val="clear" w:color="auto" w:fill="8496B0" w:themeFill="text2" w:themeFillTint="99"/>
          </w:tcPr>
          <w:p w14:paraId="743ECD03" w14:textId="0E40B1EF" w:rsidR="00961CA0" w:rsidRPr="00961CA0" w:rsidRDefault="00961CA0" w:rsidP="003C500F">
            <w:pPr>
              <w:jc w:val="both"/>
              <w:rPr>
                <w:b/>
                <w:bCs/>
                <w:lang w:val="fr-FR"/>
              </w:rPr>
            </w:pPr>
            <w:r w:rsidRPr="00961CA0">
              <w:rPr>
                <w:b/>
                <w:bCs/>
                <w:lang w:val="fr-FR"/>
              </w:rPr>
              <w:t>Indice 6</w:t>
            </w:r>
          </w:p>
        </w:tc>
        <w:tc>
          <w:tcPr>
            <w:tcW w:w="3261" w:type="dxa"/>
            <w:shd w:val="clear" w:color="auto" w:fill="FFD966" w:themeFill="accent4" w:themeFillTint="99"/>
          </w:tcPr>
          <w:p w14:paraId="284BDE22" w14:textId="2DC237EE" w:rsidR="00961CA0" w:rsidRPr="00961CA0" w:rsidRDefault="00961CA0" w:rsidP="003C500F">
            <w:pPr>
              <w:jc w:val="both"/>
              <w:rPr>
                <w:b/>
                <w:bCs/>
                <w:lang w:val="fr-FR"/>
              </w:rPr>
            </w:pPr>
            <w:r w:rsidRPr="00961CA0">
              <w:rPr>
                <w:b/>
                <w:bCs/>
                <w:sz w:val="16"/>
                <w:szCs w:val="16"/>
                <w:lang w:val="fr-FR"/>
              </w:rPr>
              <w:t>Entre 13 et 16 ans d’ancienneté de services</w:t>
            </w:r>
          </w:p>
        </w:tc>
        <w:tc>
          <w:tcPr>
            <w:tcW w:w="1984" w:type="dxa"/>
            <w:shd w:val="clear" w:color="auto" w:fill="92D050"/>
          </w:tcPr>
          <w:p w14:paraId="48D86F7F" w14:textId="20E2F1E0" w:rsidR="00961CA0" w:rsidRPr="00961CA0" w:rsidRDefault="00961CA0" w:rsidP="00961CA0">
            <w:pPr>
              <w:jc w:val="center"/>
              <w:rPr>
                <w:b/>
                <w:bCs/>
                <w:lang w:val="fr-FR"/>
              </w:rPr>
            </w:pPr>
            <w:r w:rsidRPr="00961CA0">
              <w:rPr>
                <w:b/>
                <w:bCs/>
                <w:lang w:val="fr-FR"/>
              </w:rPr>
              <w:t>358</w:t>
            </w:r>
          </w:p>
        </w:tc>
      </w:tr>
      <w:tr w:rsidR="00961CA0" w:rsidRPr="00961CA0" w14:paraId="545B66C2" w14:textId="77777777" w:rsidTr="00961CA0">
        <w:tc>
          <w:tcPr>
            <w:tcW w:w="1342" w:type="dxa"/>
            <w:vMerge/>
            <w:shd w:val="clear" w:color="auto" w:fill="D0CECE" w:themeFill="background2" w:themeFillShade="E6"/>
          </w:tcPr>
          <w:p w14:paraId="3ED26225" w14:textId="77777777" w:rsidR="00961CA0" w:rsidRPr="00961CA0" w:rsidRDefault="00961CA0" w:rsidP="003C500F">
            <w:pPr>
              <w:jc w:val="both"/>
              <w:rPr>
                <w:b/>
                <w:bCs/>
                <w:lang w:val="fr-FR"/>
              </w:rPr>
            </w:pPr>
          </w:p>
        </w:tc>
        <w:tc>
          <w:tcPr>
            <w:tcW w:w="1488" w:type="dxa"/>
            <w:shd w:val="clear" w:color="auto" w:fill="8496B0" w:themeFill="text2" w:themeFillTint="99"/>
          </w:tcPr>
          <w:p w14:paraId="5FE3052A" w14:textId="21D98449" w:rsidR="00961CA0" w:rsidRPr="00961CA0" w:rsidRDefault="00961CA0" w:rsidP="003C500F">
            <w:pPr>
              <w:jc w:val="both"/>
              <w:rPr>
                <w:b/>
                <w:bCs/>
                <w:lang w:val="fr-FR"/>
              </w:rPr>
            </w:pPr>
            <w:r w:rsidRPr="00961CA0">
              <w:rPr>
                <w:b/>
                <w:bCs/>
                <w:lang w:val="fr-FR"/>
              </w:rPr>
              <w:t>Indice 5</w:t>
            </w:r>
          </w:p>
        </w:tc>
        <w:tc>
          <w:tcPr>
            <w:tcW w:w="3261" w:type="dxa"/>
            <w:shd w:val="clear" w:color="auto" w:fill="FFD966" w:themeFill="accent4" w:themeFillTint="99"/>
          </w:tcPr>
          <w:p w14:paraId="234A0E87" w14:textId="22F22439" w:rsidR="00961CA0" w:rsidRPr="00961CA0" w:rsidRDefault="00961CA0" w:rsidP="003C500F">
            <w:pPr>
              <w:jc w:val="both"/>
              <w:rPr>
                <w:b/>
                <w:bCs/>
                <w:lang w:val="fr-FR"/>
              </w:rPr>
            </w:pPr>
            <w:r w:rsidRPr="00961CA0">
              <w:rPr>
                <w:b/>
                <w:bCs/>
                <w:sz w:val="16"/>
                <w:szCs w:val="16"/>
                <w:lang w:val="fr-FR"/>
              </w:rPr>
              <w:t>Entre 10 et 13 ans d’ancienneté de services</w:t>
            </w:r>
          </w:p>
        </w:tc>
        <w:tc>
          <w:tcPr>
            <w:tcW w:w="1984" w:type="dxa"/>
            <w:shd w:val="clear" w:color="auto" w:fill="92D050"/>
          </w:tcPr>
          <w:p w14:paraId="280BF6D1" w14:textId="72E2336E" w:rsidR="00961CA0" w:rsidRPr="00961CA0" w:rsidRDefault="00961CA0" w:rsidP="00961CA0">
            <w:pPr>
              <w:jc w:val="center"/>
              <w:rPr>
                <w:b/>
                <w:bCs/>
                <w:lang w:val="fr-FR"/>
              </w:rPr>
            </w:pPr>
            <w:r w:rsidRPr="00961CA0">
              <w:rPr>
                <w:b/>
                <w:bCs/>
                <w:lang w:val="fr-FR"/>
              </w:rPr>
              <w:t>352</w:t>
            </w:r>
          </w:p>
        </w:tc>
      </w:tr>
      <w:tr w:rsidR="00961CA0" w:rsidRPr="00961CA0" w14:paraId="7401A18D" w14:textId="77777777" w:rsidTr="00961CA0">
        <w:tc>
          <w:tcPr>
            <w:tcW w:w="1342" w:type="dxa"/>
            <w:vMerge/>
            <w:shd w:val="clear" w:color="auto" w:fill="D0CECE" w:themeFill="background2" w:themeFillShade="E6"/>
          </w:tcPr>
          <w:p w14:paraId="15BCA23C" w14:textId="77777777" w:rsidR="00961CA0" w:rsidRPr="00961CA0" w:rsidRDefault="00961CA0" w:rsidP="003C500F">
            <w:pPr>
              <w:jc w:val="both"/>
              <w:rPr>
                <w:b/>
                <w:bCs/>
                <w:lang w:val="fr-FR"/>
              </w:rPr>
            </w:pPr>
          </w:p>
        </w:tc>
        <w:tc>
          <w:tcPr>
            <w:tcW w:w="1488" w:type="dxa"/>
            <w:shd w:val="clear" w:color="auto" w:fill="8496B0" w:themeFill="text2" w:themeFillTint="99"/>
          </w:tcPr>
          <w:p w14:paraId="2EA0E013" w14:textId="656F1912" w:rsidR="00961CA0" w:rsidRPr="00961CA0" w:rsidRDefault="00961CA0" w:rsidP="003C500F">
            <w:pPr>
              <w:jc w:val="both"/>
              <w:rPr>
                <w:b/>
                <w:bCs/>
                <w:lang w:val="fr-FR"/>
              </w:rPr>
            </w:pPr>
            <w:r w:rsidRPr="00961CA0">
              <w:rPr>
                <w:b/>
                <w:bCs/>
                <w:lang w:val="fr-FR"/>
              </w:rPr>
              <w:t>Indice 4</w:t>
            </w:r>
          </w:p>
        </w:tc>
        <w:tc>
          <w:tcPr>
            <w:tcW w:w="3261" w:type="dxa"/>
            <w:shd w:val="clear" w:color="auto" w:fill="FFD966" w:themeFill="accent4" w:themeFillTint="99"/>
          </w:tcPr>
          <w:p w14:paraId="6CC0FD76" w14:textId="024F29EE" w:rsidR="00961CA0" w:rsidRPr="00961CA0" w:rsidRDefault="00961CA0" w:rsidP="003C500F">
            <w:pPr>
              <w:jc w:val="both"/>
              <w:rPr>
                <w:b/>
                <w:bCs/>
                <w:lang w:val="fr-FR"/>
              </w:rPr>
            </w:pPr>
            <w:r w:rsidRPr="00961CA0">
              <w:rPr>
                <w:b/>
                <w:bCs/>
                <w:sz w:val="16"/>
                <w:szCs w:val="16"/>
                <w:lang w:val="fr-FR"/>
              </w:rPr>
              <w:t>Entre 7 et 10 ans d’ancienneté de services</w:t>
            </w:r>
          </w:p>
        </w:tc>
        <w:tc>
          <w:tcPr>
            <w:tcW w:w="1984" w:type="dxa"/>
            <w:shd w:val="clear" w:color="auto" w:fill="92D050"/>
          </w:tcPr>
          <w:p w14:paraId="00A8A4D4" w14:textId="3031F280" w:rsidR="00961CA0" w:rsidRPr="00961CA0" w:rsidRDefault="00961CA0" w:rsidP="00961CA0">
            <w:pPr>
              <w:jc w:val="center"/>
              <w:rPr>
                <w:b/>
                <w:bCs/>
                <w:lang w:val="fr-FR"/>
              </w:rPr>
            </w:pPr>
            <w:r w:rsidRPr="00961CA0">
              <w:rPr>
                <w:b/>
                <w:bCs/>
                <w:lang w:val="fr-FR"/>
              </w:rPr>
              <w:t>346</w:t>
            </w:r>
          </w:p>
        </w:tc>
      </w:tr>
      <w:tr w:rsidR="00961CA0" w:rsidRPr="00961CA0" w14:paraId="2A93EA07" w14:textId="77777777" w:rsidTr="00961CA0">
        <w:tc>
          <w:tcPr>
            <w:tcW w:w="1342" w:type="dxa"/>
            <w:vMerge/>
            <w:shd w:val="clear" w:color="auto" w:fill="D0CECE" w:themeFill="background2" w:themeFillShade="E6"/>
          </w:tcPr>
          <w:p w14:paraId="079274FF" w14:textId="77777777" w:rsidR="00961CA0" w:rsidRPr="00961CA0" w:rsidRDefault="00961CA0" w:rsidP="003C500F">
            <w:pPr>
              <w:jc w:val="both"/>
              <w:rPr>
                <w:b/>
                <w:bCs/>
                <w:lang w:val="fr-FR"/>
              </w:rPr>
            </w:pPr>
          </w:p>
        </w:tc>
        <w:tc>
          <w:tcPr>
            <w:tcW w:w="1488" w:type="dxa"/>
            <w:shd w:val="clear" w:color="auto" w:fill="8496B0" w:themeFill="text2" w:themeFillTint="99"/>
          </w:tcPr>
          <w:p w14:paraId="1FE71142" w14:textId="32DBCA97" w:rsidR="00961CA0" w:rsidRPr="00961CA0" w:rsidRDefault="00961CA0" w:rsidP="003C500F">
            <w:pPr>
              <w:jc w:val="both"/>
              <w:rPr>
                <w:b/>
                <w:bCs/>
                <w:lang w:val="fr-FR"/>
              </w:rPr>
            </w:pPr>
            <w:r w:rsidRPr="00961CA0">
              <w:rPr>
                <w:b/>
                <w:bCs/>
                <w:lang w:val="fr-FR"/>
              </w:rPr>
              <w:t>Indice 3</w:t>
            </w:r>
          </w:p>
        </w:tc>
        <w:tc>
          <w:tcPr>
            <w:tcW w:w="3261" w:type="dxa"/>
            <w:shd w:val="clear" w:color="auto" w:fill="FFD966" w:themeFill="accent4" w:themeFillTint="99"/>
          </w:tcPr>
          <w:p w14:paraId="7E8DCF77" w14:textId="3E5B8571" w:rsidR="00961CA0" w:rsidRPr="00961CA0" w:rsidRDefault="00961CA0" w:rsidP="003C500F">
            <w:pPr>
              <w:jc w:val="both"/>
              <w:rPr>
                <w:b/>
                <w:bCs/>
                <w:lang w:val="fr-FR"/>
              </w:rPr>
            </w:pPr>
            <w:r w:rsidRPr="00961CA0">
              <w:rPr>
                <w:b/>
                <w:bCs/>
                <w:sz w:val="16"/>
                <w:szCs w:val="16"/>
                <w:lang w:val="fr-FR"/>
              </w:rPr>
              <w:t>Entre 4 et 7 ans d’ancienneté de services</w:t>
            </w:r>
          </w:p>
        </w:tc>
        <w:tc>
          <w:tcPr>
            <w:tcW w:w="1984" w:type="dxa"/>
            <w:shd w:val="clear" w:color="auto" w:fill="92D050"/>
          </w:tcPr>
          <w:p w14:paraId="189F1981" w14:textId="121CDBA6" w:rsidR="00961CA0" w:rsidRPr="00961CA0" w:rsidRDefault="00961CA0" w:rsidP="00961CA0">
            <w:pPr>
              <w:jc w:val="center"/>
              <w:rPr>
                <w:b/>
                <w:bCs/>
                <w:lang w:val="fr-FR"/>
              </w:rPr>
            </w:pPr>
            <w:r w:rsidRPr="00961CA0">
              <w:rPr>
                <w:b/>
                <w:bCs/>
                <w:lang w:val="fr-FR"/>
              </w:rPr>
              <w:t>340</w:t>
            </w:r>
          </w:p>
        </w:tc>
      </w:tr>
      <w:tr w:rsidR="00961CA0" w:rsidRPr="00961CA0" w14:paraId="00388DF0" w14:textId="77777777" w:rsidTr="00961CA0">
        <w:tc>
          <w:tcPr>
            <w:tcW w:w="1342" w:type="dxa"/>
            <w:vMerge w:val="restart"/>
            <w:shd w:val="clear" w:color="auto" w:fill="D0CECE" w:themeFill="background2" w:themeFillShade="E6"/>
          </w:tcPr>
          <w:p w14:paraId="68670BA1" w14:textId="27C6CD20" w:rsidR="00961CA0" w:rsidRPr="00961CA0" w:rsidRDefault="00961CA0" w:rsidP="003C500F">
            <w:pPr>
              <w:spacing w:line="360" w:lineRule="auto"/>
              <w:jc w:val="center"/>
              <w:rPr>
                <w:b/>
                <w:bCs/>
                <w:lang w:val="fr-FR"/>
              </w:rPr>
            </w:pPr>
            <w:r w:rsidRPr="00961CA0">
              <w:rPr>
                <w:b/>
                <w:bCs/>
                <w:lang w:val="fr-FR"/>
              </w:rPr>
              <w:t>CDD</w:t>
            </w:r>
          </w:p>
        </w:tc>
        <w:tc>
          <w:tcPr>
            <w:tcW w:w="1488" w:type="dxa"/>
            <w:shd w:val="clear" w:color="auto" w:fill="8496B0" w:themeFill="text2" w:themeFillTint="99"/>
          </w:tcPr>
          <w:p w14:paraId="06283DF5" w14:textId="29CBD8B8" w:rsidR="00961CA0" w:rsidRPr="00961CA0" w:rsidRDefault="00961CA0" w:rsidP="003C500F">
            <w:pPr>
              <w:jc w:val="both"/>
              <w:rPr>
                <w:b/>
                <w:bCs/>
                <w:lang w:val="fr-FR"/>
              </w:rPr>
            </w:pPr>
            <w:r w:rsidRPr="00961CA0">
              <w:rPr>
                <w:b/>
                <w:bCs/>
                <w:lang w:val="fr-FR"/>
              </w:rPr>
              <w:t>Indice 2</w:t>
            </w:r>
          </w:p>
        </w:tc>
        <w:tc>
          <w:tcPr>
            <w:tcW w:w="3261" w:type="dxa"/>
            <w:shd w:val="clear" w:color="auto" w:fill="FFD966" w:themeFill="accent4" w:themeFillTint="99"/>
          </w:tcPr>
          <w:p w14:paraId="50DD9F8B" w14:textId="6054EAB7" w:rsidR="00961CA0" w:rsidRPr="00961CA0" w:rsidRDefault="00961CA0" w:rsidP="003C500F">
            <w:pPr>
              <w:jc w:val="both"/>
              <w:rPr>
                <w:b/>
                <w:bCs/>
                <w:lang w:val="fr-FR"/>
              </w:rPr>
            </w:pPr>
            <w:r w:rsidRPr="00961CA0">
              <w:rPr>
                <w:b/>
                <w:bCs/>
                <w:sz w:val="16"/>
                <w:szCs w:val="16"/>
                <w:lang w:val="fr-FR"/>
              </w:rPr>
              <w:t>Entre 1 et 4 ans d’ancienneté de services</w:t>
            </w:r>
          </w:p>
        </w:tc>
        <w:tc>
          <w:tcPr>
            <w:tcW w:w="1984" w:type="dxa"/>
            <w:shd w:val="clear" w:color="auto" w:fill="92D050"/>
          </w:tcPr>
          <w:p w14:paraId="5436108E" w14:textId="16355B51" w:rsidR="00961CA0" w:rsidRPr="00961CA0" w:rsidRDefault="00961CA0" w:rsidP="00961CA0">
            <w:pPr>
              <w:jc w:val="center"/>
              <w:rPr>
                <w:b/>
                <w:bCs/>
                <w:lang w:val="fr-FR"/>
              </w:rPr>
            </w:pPr>
            <w:r w:rsidRPr="00961CA0">
              <w:rPr>
                <w:b/>
                <w:bCs/>
                <w:lang w:val="fr-FR"/>
              </w:rPr>
              <w:t>334</w:t>
            </w:r>
          </w:p>
        </w:tc>
      </w:tr>
      <w:tr w:rsidR="00961CA0" w:rsidRPr="00961CA0" w14:paraId="3D0864EF" w14:textId="77777777" w:rsidTr="00961CA0">
        <w:tc>
          <w:tcPr>
            <w:tcW w:w="1342" w:type="dxa"/>
            <w:vMerge/>
            <w:shd w:val="clear" w:color="auto" w:fill="D0CECE" w:themeFill="background2" w:themeFillShade="E6"/>
          </w:tcPr>
          <w:p w14:paraId="6D5A8B22" w14:textId="77777777" w:rsidR="00961CA0" w:rsidRPr="00961CA0" w:rsidRDefault="00961CA0" w:rsidP="003C500F">
            <w:pPr>
              <w:jc w:val="both"/>
              <w:rPr>
                <w:b/>
                <w:bCs/>
                <w:lang w:val="fr-FR"/>
              </w:rPr>
            </w:pPr>
          </w:p>
        </w:tc>
        <w:tc>
          <w:tcPr>
            <w:tcW w:w="1488" w:type="dxa"/>
            <w:shd w:val="clear" w:color="auto" w:fill="8496B0" w:themeFill="text2" w:themeFillTint="99"/>
          </w:tcPr>
          <w:p w14:paraId="33BCBFD9" w14:textId="1EDBDDB4" w:rsidR="00961CA0" w:rsidRPr="00961CA0" w:rsidRDefault="00961CA0" w:rsidP="003C500F">
            <w:pPr>
              <w:jc w:val="both"/>
              <w:rPr>
                <w:b/>
                <w:bCs/>
                <w:lang w:val="fr-FR"/>
              </w:rPr>
            </w:pPr>
            <w:r w:rsidRPr="00961CA0">
              <w:rPr>
                <w:b/>
                <w:bCs/>
                <w:lang w:val="fr-FR"/>
              </w:rPr>
              <w:t xml:space="preserve">Indice </w:t>
            </w:r>
            <w:r w:rsidRPr="00961CA0">
              <w:rPr>
                <w:b/>
                <w:bCs/>
                <w:sz w:val="16"/>
                <w:szCs w:val="16"/>
                <w:lang w:val="fr-FR"/>
              </w:rPr>
              <w:t>plancher</w:t>
            </w:r>
          </w:p>
        </w:tc>
        <w:tc>
          <w:tcPr>
            <w:tcW w:w="3261" w:type="dxa"/>
            <w:shd w:val="clear" w:color="auto" w:fill="FFD966" w:themeFill="accent4" w:themeFillTint="99"/>
          </w:tcPr>
          <w:p w14:paraId="6B18A5A5" w14:textId="2012D0CD" w:rsidR="00961CA0" w:rsidRPr="00961CA0" w:rsidRDefault="00961CA0" w:rsidP="003C500F">
            <w:pPr>
              <w:jc w:val="both"/>
              <w:rPr>
                <w:b/>
                <w:bCs/>
                <w:lang w:val="fr-FR"/>
              </w:rPr>
            </w:pPr>
            <w:r w:rsidRPr="00961CA0">
              <w:rPr>
                <w:b/>
                <w:bCs/>
                <w:sz w:val="16"/>
                <w:szCs w:val="16"/>
                <w:lang w:val="fr-FR"/>
              </w:rPr>
              <w:t>Entre 0 et 1 an d’ancienneté de services</w:t>
            </w:r>
          </w:p>
        </w:tc>
        <w:tc>
          <w:tcPr>
            <w:tcW w:w="1984" w:type="dxa"/>
            <w:shd w:val="clear" w:color="auto" w:fill="92D050"/>
          </w:tcPr>
          <w:p w14:paraId="4598808D" w14:textId="18CB9616" w:rsidR="00961CA0" w:rsidRPr="00961CA0" w:rsidRDefault="00961CA0" w:rsidP="00961CA0">
            <w:pPr>
              <w:jc w:val="center"/>
              <w:rPr>
                <w:b/>
                <w:bCs/>
                <w:lang w:val="fr-FR"/>
              </w:rPr>
            </w:pPr>
            <w:r w:rsidRPr="00961CA0">
              <w:rPr>
                <w:b/>
                <w:bCs/>
                <w:lang w:val="fr-FR"/>
              </w:rPr>
              <w:t>332</w:t>
            </w:r>
          </w:p>
        </w:tc>
      </w:tr>
    </w:tbl>
    <w:p w14:paraId="3C50EA1D" w14:textId="77777777" w:rsidR="00545368" w:rsidRPr="00961CA0" w:rsidRDefault="00545368" w:rsidP="00457855">
      <w:pPr>
        <w:jc w:val="both"/>
        <w:rPr>
          <w:b/>
          <w:bCs/>
          <w:lang w:val="fr-FR"/>
        </w:rPr>
      </w:pPr>
    </w:p>
    <w:p w14:paraId="6D796C19" w14:textId="5B715C4E" w:rsidR="00B34A18" w:rsidRPr="00B34A18" w:rsidRDefault="00B34A18" w:rsidP="00457855">
      <w:pPr>
        <w:jc w:val="both"/>
        <w:rPr>
          <w:b/>
          <w:bCs/>
          <w:lang w:val="fr-FR"/>
        </w:rPr>
      </w:pPr>
      <w:r w:rsidRPr="00B34A18">
        <w:rPr>
          <w:b/>
          <w:bCs/>
          <w:lang w:val="fr-FR"/>
        </w:rPr>
        <w:t>Valeur nette du point d’indice : 3,71 €</w:t>
      </w:r>
    </w:p>
    <w:p w14:paraId="340A1125" w14:textId="31C2EFFD" w:rsidR="004429A2" w:rsidRDefault="00961CA0" w:rsidP="00457855">
      <w:pPr>
        <w:jc w:val="both"/>
        <w:rPr>
          <w:lang w:val="fr-FR"/>
        </w:rPr>
      </w:pPr>
      <w:r>
        <w:rPr>
          <w:lang w:val="fr-FR"/>
        </w:rPr>
        <w:lastRenderedPageBreak/>
        <w:t xml:space="preserve">Cette grille est plus favorable aux collègues. </w:t>
      </w:r>
      <w:r w:rsidRPr="00B34A18">
        <w:rPr>
          <w:b/>
          <w:bCs/>
          <w:lang w:val="fr-FR"/>
        </w:rPr>
        <w:t>Nous demandons à ce qu’elle soit appliquée au 1</w:t>
      </w:r>
      <w:r w:rsidRPr="00B34A18">
        <w:rPr>
          <w:b/>
          <w:bCs/>
          <w:vertAlign w:val="superscript"/>
          <w:lang w:val="fr-FR"/>
        </w:rPr>
        <w:t>er</w:t>
      </w:r>
      <w:r w:rsidRPr="00B34A18">
        <w:rPr>
          <w:b/>
          <w:bCs/>
          <w:lang w:val="fr-FR"/>
        </w:rPr>
        <w:t xml:space="preserve"> janvier 2021 avec effet rétro actif</w:t>
      </w:r>
      <w:r>
        <w:rPr>
          <w:lang w:val="fr-FR"/>
        </w:rPr>
        <w:t>. Cela sera tranché au CTA du 17 mars.</w:t>
      </w:r>
    </w:p>
    <w:p w14:paraId="1E7D98ED" w14:textId="536071AC" w:rsidR="00B23424" w:rsidRDefault="00B23424" w:rsidP="00457855">
      <w:pPr>
        <w:jc w:val="both"/>
        <w:rPr>
          <w:lang w:val="fr-FR"/>
        </w:rPr>
      </w:pPr>
    </w:p>
    <w:p w14:paraId="35F5A874" w14:textId="7DF0C30B" w:rsidR="00B23424" w:rsidRPr="00B23424" w:rsidRDefault="00B23424" w:rsidP="00457855">
      <w:pPr>
        <w:jc w:val="both"/>
        <w:rPr>
          <w:b/>
          <w:bCs/>
          <w:u w:val="single"/>
          <w:lang w:val="fr-FR"/>
        </w:rPr>
      </w:pPr>
      <w:r w:rsidRPr="007D5202">
        <w:rPr>
          <w:b/>
          <w:bCs/>
          <w:highlight w:val="cyan"/>
          <w:u w:val="single"/>
          <w:lang w:val="fr-FR"/>
        </w:rPr>
        <w:t>Action sociale</w:t>
      </w:r>
    </w:p>
    <w:p w14:paraId="722BCA3B" w14:textId="246CB52B" w:rsidR="00B23424" w:rsidRDefault="00B23424" w:rsidP="00457855">
      <w:pPr>
        <w:jc w:val="both"/>
        <w:rPr>
          <w:lang w:val="fr-FR"/>
        </w:rPr>
      </w:pPr>
      <w:r>
        <w:rPr>
          <w:lang w:val="fr-FR"/>
        </w:rPr>
        <w:t>Les AESH Titre 2 et Hors Titre 2 ont les mêmes droits</w:t>
      </w:r>
      <w:r w:rsidR="004F3301">
        <w:rPr>
          <w:lang w:val="fr-FR"/>
        </w:rPr>
        <w:t>, cependant Madame le SG va vérifier.</w:t>
      </w:r>
    </w:p>
    <w:p w14:paraId="796F07BD" w14:textId="3388C4B0" w:rsidR="004F3301" w:rsidRDefault="004F3301" w:rsidP="00457855">
      <w:pPr>
        <w:jc w:val="both"/>
        <w:rPr>
          <w:lang w:val="fr-FR"/>
        </w:rPr>
      </w:pPr>
    </w:p>
    <w:p w14:paraId="20EE647D" w14:textId="096494FA" w:rsidR="004F3301" w:rsidRPr="004F3301" w:rsidRDefault="004F3301" w:rsidP="00457855">
      <w:pPr>
        <w:jc w:val="both"/>
        <w:rPr>
          <w:b/>
          <w:bCs/>
          <w:u w:val="single"/>
          <w:lang w:val="fr-FR"/>
        </w:rPr>
      </w:pPr>
      <w:r w:rsidRPr="007D5202">
        <w:rPr>
          <w:b/>
          <w:bCs/>
          <w:highlight w:val="cyan"/>
          <w:u w:val="single"/>
          <w:lang w:val="fr-FR"/>
        </w:rPr>
        <w:t>Le temps de travail et la quotité</w:t>
      </w:r>
    </w:p>
    <w:p w14:paraId="20827DE8" w14:textId="125D2ADF" w:rsidR="004F3301" w:rsidRDefault="004F3301" w:rsidP="00457855">
      <w:pPr>
        <w:jc w:val="both"/>
        <w:rPr>
          <w:lang w:val="fr-FR"/>
        </w:rPr>
      </w:pPr>
      <w:r>
        <w:rPr>
          <w:lang w:val="fr-FR"/>
        </w:rPr>
        <w:t xml:space="preserve">Pour l’équipe AESH c’est un des nœuds du problème. </w:t>
      </w:r>
      <w:r w:rsidRPr="00A934A1">
        <w:rPr>
          <w:b/>
          <w:bCs/>
          <w:lang w:val="fr-FR"/>
        </w:rPr>
        <w:t>Comment remplir son frigo quand on a un contrat de 20 ou 24h ?</w:t>
      </w:r>
      <w:r>
        <w:rPr>
          <w:lang w:val="fr-FR"/>
        </w:rPr>
        <w:t xml:space="preserve"> Les PIALs devaient permettre aux collègues qui voulaient travailler plus de le faire. </w:t>
      </w:r>
      <w:r w:rsidRPr="004F3301">
        <w:rPr>
          <w:b/>
          <w:bCs/>
          <w:lang w:val="fr-FR"/>
        </w:rPr>
        <w:t>Ce n’est pas le cas, au contraire !</w:t>
      </w:r>
      <w:r>
        <w:rPr>
          <w:lang w:val="fr-FR"/>
        </w:rPr>
        <w:t xml:space="preserve"> A la demande de la SG nous donnons deux exemples.</w:t>
      </w:r>
    </w:p>
    <w:p w14:paraId="72B3E920" w14:textId="436895EE" w:rsidR="004F3301" w:rsidRDefault="004F3301" w:rsidP="00457855">
      <w:pPr>
        <w:jc w:val="both"/>
        <w:rPr>
          <w:lang w:val="fr-FR"/>
        </w:rPr>
      </w:pPr>
      <w:r>
        <w:rPr>
          <w:lang w:val="fr-FR"/>
        </w:rPr>
        <w:t>. -    Dans un lycée de Soissons des collègues à 20h ont demand</w:t>
      </w:r>
      <w:r w:rsidR="00A934A1">
        <w:rPr>
          <w:lang w:val="fr-FR"/>
        </w:rPr>
        <w:t>é</w:t>
      </w:r>
      <w:r>
        <w:rPr>
          <w:lang w:val="fr-FR"/>
        </w:rPr>
        <w:t xml:space="preserve"> à augmenter leur quotité. 4 élèves</w:t>
      </w:r>
      <w:r w:rsidR="00563BBB">
        <w:rPr>
          <w:lang w:val="fr-FR"/>
        </w:rPr>
        <w:t xml:space="preserve"> avec notification MDPH</w:t>
      </w:r>
      <w:r>
        <w:rPr>
          <w:lang w:val="fr-FR"/>
        </w:rPr>
        <w:t xml:space="preserve"> étaient sans </w:t>
      </w:r>
      <w:r w:rsidR="00563BBB">
        <w:rPr>
          <w:lang w:val="fr-FR"/>
        </w:rPr>
        <w:t>AESH</w:t>
      </w:r>
      <w:r>
        <w:rPr>
          <w:lang w:val="fr-FR"/>
        </w:rPr>
        <w:t>. Cela leur a été refusé et le recrutement d’une nouvelle collègue a été fait à la place.</w:t>
      </w:r>
    </w:p>
    <w:p w14:paraId="299D1ED1" w14:textId="101A2272" w:rsidR="004F3301" w:rsidRDefault="004F3301" w:rsidP="004F3301">
      <w:pPr>
        <w:pStyle w:val="Paragraphedeliste"/>
        <w:numPr>
          <w:ilvl w:val="0"/>
          <w:numId w:val="1"/>
        </w:numPr>
        <w:jc w:val="both"/>
        <w:rPr>
          <w:lang w:val="fr-FR"/>
        </w:rPr>
      </w:pPr>
      <w:r w:rsidRPr="004F3301">
        <w:rPr>
          <w:lang w:val="fr-FR"/>
        </w:rPr>
        <w:t xml:space="preserve"> Dans un lycée de Laon, les heures assurées par une collègue qui par</w:t>
      </w:r>
      <w:r w:rsidR="00454CD0">
        <w:rPr>
          <w:lang w:val="fr-FR"/>
        </w:rPr>
        <w:t>t</w:t>
      </w:r>
      <w:r w:rsidRPr="004F3301">
        <w:rPr>
          <w:lang w:val="fr-FR"/>
        </w:rPr>
        <w:t xml:space="preserve"> en congé maternité ne seront pas assurées alors que des collègues sont volontaires pour les faire.</w:t>
      </w:r>
    </w:p>
    <w:p w14:paraId="7A33001C" w14:textId="642F9A9C" w:rsidR="007D5202" w:rsidRPr="007D5202" w:rsidRDefault="007D5202" w:rsidP="007D5202">
      <w:pPr>
        <w:jc w:val="both"/>
        <w:rPr>
          <w:b/>
          <w:bCs/>
          <w:u w:val="single"/>
          <w:lang w:val="fr-FR"/>
        </w:rPr>
      </w:pPr>
      <w:r w:rsidRPr="007D5202">
        <w:rPr>
          <w:b/>
          <w:bCs/>
          <w:highlight w:val="cyan"/>
          <w:u w:val="single"/>
          <w:lang w:val="fr-FR"/>
        </w:rPr>
        <w:t>L’indemnité compensatrice de la CSG</w:t>
      </w:r>
    </w:p>
    <w:p w14:paraId="114B3D13" w14:textId="3E645AFD" w:rsidR="007D5202" w:rsidRDefault="007D5202" w:rsidP="007D5202">
      <w:pPr>
        <w:jc w:val="both"/>
        <w:rPr>
          <w:lang w:val="fr-FR"/>
        </w:rPr>
      </w:pPr>
      <w:r>
        <w:rPr>
          <w:lang w:val="fr-FR"/>
        </w:rPr>
        <w:t>Cette indemnité est due à tous les collègues en contrat au 31 décembre 2017.</w:t>
      </w:r>
    </w:p>
    <w:p w14:paraId="347B7953" w14:textId="11C53588" w:rsidR="007D5202" w:rsidRDefault="007D5202" w:rsidP="007D5202">
      <w:pPr>
        <w:jc w:val="both"/>
        <w:rPr>
          <w:lang w:val="fr-FR"/>
        </w:rPr>
      </w:pPr>
      <w:r w:rsidRPr="007D5202">
        <w:rPr>
          <w:b/>
          <w:bCs/>
          <w:lang w:val="fr-FR"/>
        </w:rPr>
        <w:t>Elle sera reversée sur la paye de mars pour les AESH rémunérés par un lycée mutualisateur. Pour ceux payés par la DDFIP il faut attendre qu’un problème informatique soit réglé. On espère pour le mois d’avril.</w:t>
      </w:r>
      <w:r>
        <w:rPr>
          <w:lang w:val="fr-FR"/>
        </w:rPr>
        <w:t xml:space="preserve"> L’équipe AESH exprime ses craintes que des collègues soient oubliés, notamment ceux à qui on a imposé un changement de contrat depuis le 1</w:t>
      </w:r>
      <w:r w:rsidRPr="007D5202">
        <w:rPr>
          <w:vertAlign w:val="superscript"/>
          <w:lang w:val="fr-FR"/>
        </w:rPr>
        <w:t>er</w:t>
      </w:r>
      <w:r>
        <w:rPr>
          <w:lang w:val="fr-FR"/>
        </w:rPr>
        <w:t xml:space="preserve"> janvier 2018. L’administration nous demande de lui faire remonter les situations. </w:t>
      </w:r>
    </w:p>
    <w:p w14:paraId="55A35BF3" w14:textId="3594827B" w:rsidR="00A24CEA" w:rsidRPr="00A24CEA" w:rsidRDefault="00A24CEA" w:rsidP="007D5202">
      <w:pPr>
        <w:jc w:val="both"/>
        <w:rPr>
          <w:b/>
          <w:bCs/>
          <w:u w:val="single"/>
          <w:lang w:val="fr-FR"/>
        </w:rPr>
      </w:pPr>
      <w:r w:rsidRPr="00A24CEA">
        <w:rPr>
          <w:b/>
          <w:bCs/>
          <w:highlight w:val="cyan"/>
          <w:u w:val="single"/>
          <w:lang w:val="fr-FR"/>
        </w:rPr>
        <w:t>Fiche de paie et arrêt maladie : des documents illisibles et invérifiables</w:t>
      </w:r>
    </w:p>
    <w:p w14:paraId="2AB4577A" w14:textId="6C420B57" w:rsidR="0003144A" w:rsidRPr="0003144A" w:rsidRDefault="0003144A" w:rsidP="0003144A">
      <w:pPr>
        <w:jc w:val="both"/>
        <w:rPr>
          <w:lang w:val="fr-FR"/>
        </w:rPr>
      </w:pPr>
      <w:r>
        <w:rPr>
          <w:lang w:val="fr-FR"/>
        </w:rPr>
        <w:t>L’équipe AESH pose le problème de l</w:t>
      </w:r>
      <w:r w:rsidRPr="0003144A">
        <w:rPr>
          <w:lang w:val="fr-FR"/>
        </w:rPr>
        <w:t xml:space="preserve">a gestion des arrêts maladie et </w:t>
      </w:r>
      <w:r>
        <w:rPr>
          <w:lang w:val="fr-FR"/>
        </w:rPr>
        <w:t xml:space="preserve">de </w:t>
      </w:r>
      <w:r w:rsidRPr="0003144A">
        <w:rPr>
          <w:lang w:val="fr-FR"/>
        </w:rPr>
        <w:t>la récupération des Indemnités journ</w:t>
      </w:r>
      <w:r>
        <w:rPr>
          <w:lang w:val="fr-FR"/>
        </w:rPr>
        <w:t>alières</w:t>
      </w:r>
      <w:r w:rsidRPr="0003144A">
        <w:rPr>
          <w:lang w:val="fr-FR"/>
        </w:rPr>
        <w:t>.</w:t>
      </w:r>
      <w:r>
        <w:rPr>
          <w:lang w:val="fr-FR"/>
        </w:rPr>
        <w:t xml:space="preserve"> Il faut pouvoir avoir un interlocuteur disponible dans chaque DSDEN pour répondre à nos questions.</w:t>
      </w:r>
      <w:r w:rsidRPr="0003144A">
        <w:rPr>
          <w:lang w:val="fr-FR"/>
        </w:rPr>
        <w:t xml:space="preserve"> Les fiches de paie sont trop floues ce qui empêche les collègues de vérifier les informations.</w:t>
      </w:r>
      <w:r>
        <w:rPr>
          <w:lang w:val="fr-FR"/>
        </w:rPr>
        <w:t xml:space="preserve"> De plus l’arrivée de somme</w:t>
      </w:r>
      <w:r w:rsidR="00454CD0">
        <w:rPr>
          <w:lang w:val="fr-FR"/>
        </w:rPr>
        <w:t>s</w:t>
      </w:r>
      <w:r>
        <w:rPr>
          <w:lang w:val="fr-FR"/>
        </w:rPr>
        <w:t xml:space="preserve"> importante</w:t>
      </w:r>
      <w:r w:rsidR="00454CD0">
        <w:rPr>
          <w:lang w:val="fr-FR"/>
        </w:rPr>
        <w:t>s</w:t>
      </w:r>
      <w:r>
        <w:rPr>
          <w:lang w:val="fr-FR"/>
        </w:rPr>
        <w:t xml:space="preserve"> puis leur « récupération » par les service</w:t>
      </w:r>
      <w:r w:rsidR="00340712">
        <w:rPr>
          <w:lang w:val="fr-FR"/>
        </w:rPr>
        <w:t>s</w:t>
      </w:r>
      <w:r>
        <w:rPr>
          <w:lang w:val="fr-FR"/>
        </w:rPr>
        <w:t xml:space="preserve"> les mois suivant</w:t>
      </w:r>
      <w:r w:rsidR="00340712">
        <w:rPr>
          <w:lang w:val="fr-FR"/>
        </w:rPr>
        <w:t>s</w:t>
      </w:r>
      <w:r>
        <w:rPr>
          <w:lang w:val="fr-FR"/>
        </w:rPr>
        <w:t xml:space="preserve"> posent des problèmes pour les impôts et les demandes d’aides diverses.</w:t>
      </w:r>
      <w:r w:rsidR="00C87453">
        <w:rPr>
          <w:lang w:val="fr-FR"/>
        </w:rPr>
        <w:t xml:space="preserve"> Des solutions doivent être trouvées !</w:t>
      </w:r>
      <w:r w:rsidR="00315150">
        <w:rPr>
          <w:lang w:val="fr-FR"/>
        </w:rPr>
        <w:t xml:space="preserve"> Mme la Secrétaire Générale dit que ce n’est pas admissible et que les agents doivent être informés.</w:t>
      </w:r>
    </w:p>
    <w:p w14:paraId="1D5E836D" w14:textId="77777777" w:rsidR="00A24CEA" w:rsidRDefault="00A24CEA" w:rsidP="007D5202">
      <w:pPr>
        <w:jc w:val="both"/>
        <w:rPr>
          <w:lang w:val="fr-FR"/>
        </w:rPr>
      </w:pPr>
    </w:p>
    <w:p w14:paraId="5F721ADF" w14:textId="377DCCBB" w:rsidR="007D5202" w:rsidRDefault="007D5202" w:rsidP="007D5202">
      <w:pPr>
        <w:jc w:val="both"/>
        <w:rPr>
          <w:lang w:val="fr-FR"/>
        </w:rPr>
      </w:pPr>
    </w:p>
    <w:p w14:paraId="7023F51A" w14:textId="49D22013" w:rsidR="007D5202" w:rsidRPr="007D5202" w:rsidRDefault="007D5202" w:rsidP="007D5202">
      <w:pPr>
        <w:jc w:val="both"/>
        <w:rPr>
          <w:b/>
          <w:bCs/>
          <w:u w:val="single"/>
          <w:lang w:val="fr-FR"/>
        </w:rPr>
      </w:pPr>
      <w:r w:rsidRPr="007D5202">
        <w:rPr>
          <w:b/>
          <w:bCs/>
          <w:highlight w:val="cyan"/>
          <w:u w:val="single"/>
          <w:lang w:val="fr-FR"/>
        </w:rPr>
        <w:t>Les frais de déplacement :</w:t>
      </w:r>
    </w:p>
    <w:p w14:paraId="4CBF31B9" w14:textId="1E79AA32" w:rsidR="002B3DF5" w:rsidRDefault="002B3DF5" w:rsidP="007D5202">
      <w:pPr>
        <w:jc w:val="both"/>
        <w:rPr>
          <w:lang w:val="fr-FR"/>
        </w:rPr>
      </w:pPr>
      <w:r>
        <w:rPr>
          <w:lang w:val="fr-FR"/>
        </w:rPr>
        <w:t xml:space="preserve">Lorsque l’on est convoqué à une formation ou en poste partagé sur deux communes. Pour tout comprendre voir notre article : </w:t>
      </w:r>
      <w:hyperlink r:id="rId8" w:history="1">
        <w:r w:rsidRPr="00AE6323">
          <w:rPr>
            <w:rStyle w:val="Lienhypertexte"/>
            <w:lang w:val="fr-FR"/>
          </w:rPr>
          <w:t>http://sections.se-unsa.org/amiens/spip.php?article1286</w:t>
        </w:r>
      </w:hyperlink>
    </w:p>
    <w:p w14:paraId="1D2561A8" w14:textId="038ACD98" w:rsidR="007D5202" w:rsidRDefault="007D5202" w:rsidP="007D5202">
      <w:pPr>
        <w:jc w:val="both"/>
        <w:rPr>
          <w:lang w:val="fr-FR"/>
        </w:rPr>
      </w:pPr>
      <w:r>
        <w:rPr>
          <w:lang w:val="fr-FR"/>
        </w:rPr>
        <w:lastRenderedPageBreak/>
        <w:t xml:space="preserve">Il faut des documents clairs et accessibles pour </w:t>
      </w:r>
      <w:r w:rsidR="00454CD0">
        <w:rPr>
          <w:lang w:val="fr-FR"/>
        </w:rPr>
        <w:t xml:space="preserve">les </w:t>
      </w:r>
      <w:r>
        <w:rPr>
          <w:lang w:val="fr-FR"/>
        </w:rPr>
        <w:t>collègues. De plus</w:t>
      </w:r>
      <w:r w:rsidR="002B3DF5">
        <w:rPr>
          <w:lang w:val="fr-FR"/>
        </w:rPr>
        <w:t xml:space="preserve"> il faudrait une personne dédiée pour aider les AESH à saisir leurs frais sur le logiciel CHORUS qui est compliqué. Mme la SG en convient et dit vouloir œuvrer en ce sens.</w:t>
      </w:r>
    </w:p>
    <w:p w14:paraId="7EF0A2AE" w14:textId="580AE13F" w:rsidR="00D3592D" w:rsidRDefault="00D3592D" w:rsidP="007D5202">
      <w:pPr>
        <w:jc w:val="both"/>
        <w:rPr>
          <w:lang w:val="fr-FR"/>
        </w:rPr>
      </w:pPr>
      <w:r>
        <w:rPr>
          <w:lang w:val="fr-FR"/>
        </w:rPr>
        <w:t>On rappelle que les collègues ont d</w:t>
      </w:r>
      <w:r w:rsidR="00454CD0">
        <w:rPr>
          <w:lang w:val="fr-FR"/>
        </w:rPr>
        <w:t xml:space="preserve">û </w:t>
      </w:r>
      <w:r>
        <w:rPr>
          <w:lang w:val="fr-FR"/>
        </w:rPr>
        <w:t>se rendre à des réunions de pré rentré</w:t>
      </w:r>
      <w:r w:rsidR="00454CD0">
        <w:rPr>
          <w:lang w:val="fr-FR"/>
        </w:rPr>
        <w:t>e</w:t>
      </w:r>
      <w:r>
        <w:rPr>
          <w:lang w:val="fr-FR"/>
        </w:rPr>
        <w:t xml:space="preserve"> sans frais de déplacement. C’est un abus.</w:t>
      </w:r>
    </w:p>
    <w:p w14:paraId="3F8CF154" w14:textId="1ABC2FFF" w:rsidR="00F638C1" w:rsidRPr="00F638C1" w:rsidRDefault="00F638C1" w:rsidP="007D5202">
      <w:pPr>
        <w:jc w:val="both"/>
        <w:rPr>
          <w:b/>
          <w:bCs/>
          <w:u w:val="single"/>
          <w:lang w:val="fr-FR"/>
        </w:rPr>
      </w:pPr>
      <w:r w:rsidRPr="00F638C1">
        <w:rPr>
          <w:b/>
          <w:bCs/>
          <w:highlight w:val="cyan"/>
          <w:lang w:val="fr-FR"/>
        </w:rPr>
        <w:t>Les jours de fractionnement</w:t>
      </w:r>
    </w:p>
    <w:p w14:paraId="4089F8EB" w14:textId="0457A1F2" w:rsidR="00F638C1" w:rsidRDefault="00F638C1" w:rsidP="007D5202">
      <w:pPr>
        <w:jc w:val="both"/>
        <w:rPr>
          <w:lang w:val="fr-FR"/>
        </w:rPr>
      </w:pPr>
      <w:r>
        <w:rPr>
          <w:lang w:val="fr-FR"/>
        </w:rPr>
        <w:t>Comme les AESH ne p</w:t>
      </w:r>
      <w:r w:rsidR="00340712">
        <w:rPr>
          <w:lang w:val="fr-FR"/>
        </w:rPr>
        <w:t>e</w:t>
      </w:r>
      <w:r>
        <w:rPr>
          <w:lang w:val="fr-FR"/>
        </w:rPr>
        <w:t>uvent pas choisir leurs congés</w:t>
      </w:r>
      <w:r w:rsidR="00454CD0">
        <w:rPr>
          <w:lang w:val="fr-FR"/>
        </w:rPr>
        <w:t>, ils</w:t>
      </w:r>
      <w:r>
        <w:rPr>
          <w:lang w:val="fr-FR"/>
        </w:rPr>
        <w:t xml:space="preserve"> ont droit à l’équivalent de deux jours de fractionnement pour un temps plein. Cela peut être deux jours de congé à prendre au cours de l’année ; dans ce cas le salaire reste le même. Ce peut être aussi une diminution de 14h des 1607 heures de travail annuel ; dans ce cas le salaire augmente très légèrement.</w:t>
      </w:r>
    </w:p>
    <w:p w14:paraId="7E2135AD" w14:textId="624498CE" w:rsidR="00F638C1" w:rsidRDefault="00F638C1" w:rsidP="007D5202">
      <w:pPr>
        <w:jc w:val="both"/>
        <w:rPr>
          <w:lang w:val="fr-FR"/>
        </w:rPr>
      </w:pPr>
      <w:r>
        <w:rPr>
          <w:lang w:val="fr-FR"/>
        </w:rPr>
        <w:t>Pour l’instant cela n’est pas appliqué dans l’académie d’Amiens. Mme Viot va étudier le problème et fera des propositions. Pourquoi, par exemple, ne pas laisser le choix de prendre l’une ou l’autre solution ?</w:t>
      </w:r>
    </w:p>
    <w:p w14:paraId="7CA6F29F" w14:textId="483DA5DB" w:rsidR="00F638C1" w:rsidRPr="00F638C1" w:rsidRDefault="00F638C1" w:rsidP="007D5202">
      <w:pPr>
        <w:jc w:val="both"/>
        <w:rPr>
          <w:b/>
          <w:bCs/>
          <w:u w:val="single"/>
          <w:lang w:val="fr-FR"/>
        </w:rPr>
      </w:pPr>
      <w:r w:rsidRPr="00F638C1">
        <w:rPr>
          <w:b/>
          <w:bCs/>
          <w:highlight w:val="cyan"/>
          <w:u w:val="single"/>
          <w:lang w:val="fr-FR"/>
        </w:rPr>
        <w:t>Temps de travail calculé sur 45 semaines au lieu de 41</w:t>
      </w:r>
    </w:p>
    <w:p w14:paraId="0010AF6F" w14:textId="545BE801" w:rsidR="00F638C1" w:rsidRDefault="00F638C1" w:rsidP="007D5202">
      <w:pPr>
        <w:jc w:val="both"/>
        <w:rPr>
          <w:lang w:val="fr-FR"/>
        </w:rPr>
      </w:pPr>
      <w:r>
        <w:rPr>
          <w:lang w:val="fr-FR"/>
        </w:rPr>
        <w:t xml:space="preserve">Cela permettrait d’augmenter les salaires automatiquement. </w:t>
      </w:r>
      <w:r w:rsidR="00A24CEA">
        <w:rPr>
          <w:lang w:val="fr-FR"/>
        </w:rPr>
        <w:t>C’est technique mais, p</w:t>
      </w:r>
      <w:r>
        <w:rPr>
          <w:lang w:val="fr-FR"/>
        </w:rPr>
        <w:t>ar exemple</w:t>
      </w:r>
      <w:r w:rsidR="00A24CEA">
        <w:rPr>
          <w:lang w:val="fr-FR"/>
        </w:rPr>
        <w:t>,</w:t>
      </w:r>
      <w:r>
        <w:rPr>
          <w:lang w:val="fr-FR"/>
        </w:rPr>
        <w:t xml:space="preserve"> un contrat de 27 heures payé 6</w:t>
      </w:r>
      <w:r w:rsidR="00A24CEA">
        <w:rPr>
          <w:lang w:val="fr-FR"/>
        </w:rPr>
        <w:t>9% serait payé 75%. Mme La Secrétaire Générale s’y refuse car cela coûterait trop cher.</w:t>
      </w:r>
    </w:p>
    <w:p w14:paraId="64E0456E" w14:textId="30EC6F85" w:rsidR="00A24CEA" w:rsidRPr="00A24CEA" w:rsidRDefault="00A24CEA" w:rsidP="007D5202">
      <w:pPr>
        <w:jc w:val="both"/>
        <w:rPr>
          <w:b/>
          <w:bCs/>
          <w:u w:val="single"/>
          <w:lang w:val="fr-FR"/>
        </w:rPr>
      </w:pPr>
      <w:r w:rsidRPr="00A24CEA">
        <w:rPr>
          <w:b/>
          <w:bCs/>
          <w:highlight w:val="cyan"/>
          <w:u w:val="single"/>
          <w:lang w:val="fr-FR"/>
        </w:rPr>
        <w:t>Remarque sur les arrondis de quotités</w:t>
      </w:r>
    </w:p>
    <w:p w14:paraId="27843D12" w14:textId="0AF6BD9F" w:rsidR="00A24CEA" w:rsidRDefault="00A24CEA" w:rsidP="007D5202">
      <w:pPr>
        <w:jc w:val="both"/>
        <w:rPr>
          <w:lang w:val="fr-FR"/>
        </w:rPr>
      </w:pPr>
      <w:r>
        <w:rPr>
          <w:lang w:val="fr-FR"/>
        </w:rPr>
        <w:t>Un.e collègue qui fait 24h est payé.e à 60% alors que la quotité exacte est de 60,2%. On demande à ce que l’arrondi soit favorable au collègue (61%). Mme Viot va étudier la question.</w:t>
      </w:r>
    </w:p>
    <w:p w14:paraId="36D5205B" w14:textId="5FF444ED" w:rsidR="00315150" w:rsidRPr="00315150" w:rsidRDefault="00315150" w:rsidP="007D5202">
      <w:pPr>
        <w:jc w:val="both"/>
        <w:rPr>
          <w:b/>
          <w:bCs/>
          <w:u w:val="single"/>
          <w:lang w:val="fr-FR"/>
        </w:rPr>
      </w:pPr>
      <w:r w:rsidRPr="00315150">
        <w:rPr>
          <w:b/>
          <w:bCs/>
          <w:highlight w:val="cyan"/>
          <w:u w:val="single"/>
          <w:lang w:val="fr-FR"/>
        </w:rPr>
        <w:t>Prime REP et REP+</w:t>
      </w:r>
    </w:p>
    <w:p w14:paraId="39053049" w14:textId="522A95B9" w:rsidR="00315150" w:rsidRDefault="00315150" w:rsidP="007D5202">
      <w:pPr>
        <w:jc w:val="both"/>
        <w:rPr>
          <w:lang w:val="fr-FR"/>
        </w:rPr>
      </w:pPr>
      <w:r>
        <w:rPr>
          <w:lang w:val="fr-FR"/>
        </w:rPr>
        <w:t>Les organisations syndicales demandent toutes à ce que les AESH y aient droit. C’est une injustice. Mais cela relève du Ministère.</w:t>
      </w:r>
    </w:p>
    <w:p w14:paraId="46BECA3A" w14:textId="2060DBC1" w:rsidR="00315150" w:rsidRDefault="00315150" w:rsidP="007D5202">
      <w:pPr>
        <w:jc w:val="both"/>
        <w:rPr>
          <w:lang w:val="fr-FR"/>
        </w:rPr>
      </w:pPr>
    </w:p>
    <w:p w14:paraId="3EDB35EF" w14:textId="77777777" w:rsidR="00315150" w:rsidRDefault="00315150" w:rsidP="007D5202">
      <w:pPr>
        <w:jc w:val="both"/>
        <w:rPr>
          <w:lang w:val="fr-FR"/>
        </w:rPr>
      </w:pPr>
    </w:p>
    <w:p w14:paraId="23E33137" w14:textId="797F1A67" w:rsidR="00315150" w:rsidRPr="009B4F87" w:rsidRDefault="00315150" w:rsidP="007D5202">
      <w:pPr>
        <w:jc w:val="both"/>
        <w:rPr>
          <w:b/>
          <w:bCs/>
          <w:u w:val="single"/>
          <w:lang w:val="fr-FR"/>
        </w:rPr>
      </w:pPr>
      <w:r w:rsidRPr="009B4F87">
        <w:rPr>
          <w:b/>
          <w:bCs/>
          <w:highlight w:val="cyan"/>
          <w:u w:val="single"/>
          <w:lang w:val="fr-FR"/>
        </w:rPr>
        <w:t>D’autres sujet</w:t>
      </w:r>
      <w:r w:rsidR="00454CD0">
        <w:rPr>
          <w:b/>
          <w:bCs/>
          <w:highlight w:val="cyan"/>
          <w:u w:val="single"/>
          <w:lang w:val="fr-FR"/>
        </w:rPr>
        <w:t>s</w:t>
      </w:r>
      <w:r w:rsidRPr="009B4F87">
        <w:rPr>
          <w:b/>
          <w:bCs/>
          <w:highlight w:val="cyan"/>
          <w:u w:val="single"/>
          <w:lang w:val="fr-FR"/>
        </w:rPr>
        <w:t xml:space="preserve"> sont abordés</w:t>
      </w:r>
    </w:p>
    <w:p w14:paraId="35919192" w14:textId="2C8A66AE" w:rsidR="00315150" w:rsidRDefault="00315150" w:rsidP="007D5202">
      <w:pPr>
        <w:jc w:val="both"/>
        <w:rPr>
          <w:lang w:val="fr-FR"/>
        </w:rPr>
      </w:pPr>
    </w:p>
    <w:p w14:paraId="5491F67A" w14:textId="4FC94308" w:rsidR="00315150" w:rsidRDefault="00315150" w:rsidP="00315150">
      <w:pPr>
        <w:pStyle w:val="Paragraphedeliste"/>
        <w:numPr>
          <w:ilvl w:val="0"/>
          <w:numId w:val="1"/>
        </w:numPr>
        <w:jc w:val="both"/>
        <w:rPr>
          <w:lang w:val="fr-FR"/>
        </w:rPr>
      </w:pPr>
      <w:r>
        <w:rPr>
          <w:lang w:val="fr-FR"/>
        </w:rPr>
        <w:t>Le droit de pouvoir changer de Pial. Des fiches de vœux seront données (c’est le cas dans l’Aisne).</w:t>
      </w:r>
    </w:p>
    <w:p w14:paraId="771D761A" w14:textId="5223B5A5" w:rsidR="00315150" w:rsidRDefault="00315150" w:rsidP="00315150">
      <w:pPr>
        <w:pStyle w:val="Paragraphedeliste"/>
        <w:numPr>
          <w:ilvl w:val="0"/>
          <w:numId w:val="1"/>
        </w:numPr>
        <w:jc w:val="both"/>
        <w:rPr>
          <w:lang w:val="fr-FR"/>
        </w:rPr>
      </w:pPr>
      <w:r>
        <w:rPr>
          <w:lang w:val="fr-FR"/>
        </w:rPr>
        <w:t>Le droit de changer de niveau ou d’établissement au sein du PIAL. Il faut voir avec le coordo ou avec le responsable PIAL.</w:t>
      </w:r>
    </w:p>
    <w:p w14:paraId="3EFC69E9" w14:textId="38AC87C3" w:rsidR="00315150" w:rsidRDefault="000364C4" w:rsidP="00315150">
      <w:pPr>
        <w:pStyle w:val="Paragraphedeliste"/>
        <w:numPr>
          <w:ilvl w:val="0"/>
          <w:numId w:val="1"/>
        </w:numPr>
        <w:jc w:val="both"/>
        <w:rPr>
          <w:lang w:val="fr-FR"/>
        </w:rPr>
      </w:pPr>
      <w:r>
        <w:rPr>
          <w:lang w:val="fr-FR"/>
        </w:rPr>
        <w:t>Le problème des changements d’emploi du temps en cours d’année, ce qui désorganise la vie familiale et personnelle.</w:t>
      </w:r>
    </w:p>
    <w:p w14:paraId="4DE11E21" w14:textId="0738BD0F" w:rsidR="000364C4" w:rsidRDefault="000364C4" w:rsidP="00315150">
      <w:pPr>
        <w:pStyle w:val="Paragraphedeliste"/>
        <w:numPr>
          <w:ilvl w:val="0"/>
          <w:numId w:val="1"/>
        </w:numPr>
        <w:jc w:val="both"/>
        <w:rPr>
          <w:lang w:val="fr-FR"/>
        </w:rPr>
      </w:pPr>
      <w:r>
        <w:rPr>
          <w:lang w:val="fr-FR"/>
        </w:rPr>
        <w:t>Les journées continues</w:t>
      </w:r>
    </w:p>
    <w:p w14:paraId="26B9963B" w14:textId="01A495BD" w:rsidR="000364C4" w:rsidRDefault="000364C4" w:rsidP="00315150">
      <w:pPr>
        <w:pStyle w:val="Paragraphedeliste"/>
        <w:numPr>
          <w:ilvl w:val="0"/>
          <w:numId w:val="1"/>
        </w:numPr>
        <w:jc w:val="both"/>
        <w:rPr>
          <w:lang w:val="fr-FR"/>
        </w:rPr>
      </w:pPr>
      <w:r>
        <w:rPr>
          <w:lang w:val="fr-FR"/>
        </w:rPr>
        <w:t>Le besoin de formation</w:t>
      </w:r>
    </w:p>
    <w:p w14:paraId="2211232B" w14:textId="242A15BB" w:rsidR="000364C4" w:rsidRDefault="000364C4" w:rsidP="00315150">
      <w:pPr>
        <w:pStyle w:val="Paragraphedeliste"/>
        <w:numPr>
          <w:ilvl w:val="0"/>
          <w:numId w:val="1"/>
        </w:numPr>
        <w:jc w:val="both"/>
        <w:rPr>
          <w:lang w:val="fr-FR"/>
        </w:rPr>
      </w:pPr>
      <w:r>
        <w:rPr>
          <w:lang w:val="fr-FR"/>
        </w:rPr>
        <w:t>L’équipe AESH fait aussi remarquer le travail très difficile des collègues qui s’occupent d’enfants avec des troubles du comportement.</w:t>
      </w:r>
    </w:p>
    <w:p w14:paraId="7D907DFF" w14:textId="3E247150" w:rsidR="008A7B63" w:rsidRDefault="008A7B63" w:rsidP="00315150">
      <w:pPr>
        <w:pStyle w:val="Paragraphedeliste"/>
        <w:numPr>
          <w:ilvl w:val="0"/>
          <w:numId w:val="1"/>
        </w:numPr>
        <w:jc w:val="both"/>
        <w:rPr>
          <w:lang w:val="fr-FR"/>
        </w:rPr>
      </w:pPr>
      <w:r>
        <w:rPr>
          <w:lang w:val="fr-FR"/>
        </w:rPr>
        <w:t>1h de concertation imposée dans certains établissements</w:t>
      </w:r>
    </w:p>
    <w:p w14:paraId="171BE687" w14:textId="7EAAB85D" w:rsidR="008A7B63" w:rsidRDefault="008A7B63" w:rsidP="00315150">
      <w:pPr>
        <w:pStyle w:val="Paragraphedeliste"/>
        <w:numPr>
          <w:ilvl w:val="0"/>
          <w:numId w:val="1"/>
        </w:numPr>
        <w:jc w:val="both"/>
        <w:rPr>
          <w:lang w:val="fr-FR"/>
        </w:rPr>
      </w:pPr>
      <w:r>
        <w:rPr>
          <w:lang w:val="fr-FR"/>
        </w:rPr>
        <w:lastRenderedPageBreak/>
        <w:t>ENSAP (site pour le stockage des fiches de paies) : Les T2 y ont accès. Pas les Hors T2.</w:t>
      </w:r>
    </w:p>
    <w:p w14:paraId="1747F23B" w14:textId="4DC5445F" w:rsidR="008A7B63" w:rsidRDefault="008A7B63" w:rsidP="00315150">
      <w:pPr>
        <w:pStyle w:val="Paragraphedeliste"/>
        <w:numPr>
          <w:ilvl w:val="0"/>
          <w:numId w:val="1"/>
        </w:numPr>
        <w:jc w:val="both"/>
        <w:rPr>
          <w:lang w:val="fr-FR"/>
        </w:rPr>
      </w:pPr>
      <w:r>
        <w:rPr>
          <w:lang w:val="fr-FR"/>
        </w:rPr>
        <w:t>Certains coordo ou responsables PIAL demande</w:t>
      </w:r>
      <w:r w:rsidR="00454CD0">
        <w:rPr>
          <w:lang w:val="fr-FR"/>
        </w:rPr>
        <w:t>nt</w:t>
      </w:r>
      <w:r>
        <w:rPr>
          <w:lang w:val="fr-FR"/>
        </w:rPr>
        <w:t xml:space="preserve"> un décompte des heures. C’est abusif.</w:t>
      </w:r>
    </w:p>
    <w:p w14:paraId="5E97C538" w14:textId="0ABF396D" w:rsidR="008A7B63" w:rsidRDefault="008A7B63" w:rsidP="00315150">
      <w:pPr>
        <w:pStyle w:val="Paragraphedeliste"/>
        <w:numPr>
          <w:ilvl w:val="0"/>
          <w:numId w:val="1"/>
        </w:numPr>
        <w:jc w:val="both"/>
        <w:rPr>
          <w:lang w:val="fr-FR"/>
        </w:rPr>
      </w:pPr>
      <w:r>
        <w:rPr>
          <w:lang w:val="fr-FR"/>
        </w:rPr>
        <w:t>Un guide AESH académique va être rédigé. Les OS y seront associées.</w:t>
      </w:r>
    </w:p>
    <w:p w14:paraId="4CC11576" w14:textId="2E4E4A51" w:rsidR="000364C4" w:rsidRPr="009B4F87" w:rsidRDefault="000364C4" w:rsidP="000364C4">
      <w:pPr>
        <w:jc w:val="both"/>
        <w:rPr>
          <w:b/>
          <w:bCs/>
          <w:lang w:val="fr-FR"/>
        </w:rPr>
      </w:pPr>
      <w:r w:rsidRPr="009B4F87">
        <w:rPr>
          <w:b/>
          <w:bCs/>
          <w:lang w:val="fr-FR"/>
        </w:rPr>
        <w:t>Tous ces sujets seront abordés lors d’un nouveau groupe de travail qui est prévu le 31 mars.</w:t>
      </w:r>
    </w:p>
    <w:p w14:paraId="0C85CF62" w14:textId="0471A0CC" w:rsidR="000364C4" w:rsidRDefault="000364C4" w:rsidP="000364C4">
      <w:pPr>
        <w:jc w:val="both"/>
        <w:rPr>
          <w:lang w:val="fr-FR"/>
        </w:rPr>
      </w:pPr>
    </w:p>
    <w:p w14:paraId="16325C72" w14:textId="2A3E87CF" w:rsidR="000364C4" w:rsidRDefault="000364C4" w:rsidP="000364C4">
      <w:pPr>
        <w:jc w:val="both"/>
        <w:rPr>
          <w:lang w:val="fr-FR"/>
        </w:rPr>
      </w:pPr>
      <w:r>
        <w:rPr>
          <w:lang w:val="fr-FR"/>
        </w:rPr>
        <w:t>Merci de nous faire remonter vos remarques.</w:t>
      </w:r>
    </w:p>
    <w:p w14:paraId="3BECDD87" w14:textId="08FB48E8" w:rsidR="000364C4" w:rsidRDefault="000364C4" w:rsidP="000364C4">
      <w:pPr>
        <w:jc w:val="both"/>
        <w:rPr>
          <w:lang w:val="fr-FR"/>
        </w:rPr>
      </w:pPr>
    </w:p>
    <w:p w14:paraId="2B289CFC" w14:textId="731C4527" w:rsidR="000364C4" w:rsidRPr="009B4F87" w:rsidRDefault="000364C4" w:rsidP="000364C4">
      <w:pPr>
        <w:jc w:val="both"/>
        <w:rPr>
          <w:b/>
          <w:bCs/>
          <w:lang w:val="fr-FR"/>
        </w:rPr>
      </w:pPr>
      <w:r w:rsidRPr="009B4F87">
        <w:rPr>
          <w:b/>
          <w:bCs/>
          <w:lang w:val="fr-FR"/>
        </w:rPr>
        <w:t>Merci à Catherine et Murielle, AESH à Laon</w:t>
      </w:r>
      <w:r w:rsidR="008A7B63" w:rsidRPr="009B4F87">
        <w:rPr>
          <w:b/>
          <w:bCs/>
          <w:lang w:val="fr-FR"/>
        </w:rPr>
        <w:t>,</w:t>
      </w:r>
      <w:r w:rsidRPr="009B4F87">
        <w:rPr>
          <w:b/>
          <w:bCs/>
          <w:lang w:val="fr-FR"/>
        </w:rPr>
        <w:t xml:space="preserve"> d’avoir représenté l’UNSA au Rectorat.</w:t>
      </w:r>
      <w:r w:rsidR="00297C44">
        <w:rPr>
          <w:b/>
          <w:bCs/>
          <w:lang w:val="fr-FR"/>
        </w:rPr>
        <w:t xml:space="preserve"> Avec respect et fermeté elles ont fait passer des messages importants.</w:t>
      </w:r>
    </w:p>
    <w:p w14:paraId="76FFE0F4" w14:textId="49EF7279" w:rsidR="000364C4" w:rsidRPr="009B4F87" w:rsidRDefault="000364C4" w:rsidP="000364C4">
      <w:pPr>
        <w:jc w:val="both"/>
        <w:rPr>
          <w:b/>
          <w:bCs/>
          <w:lang w:val="fr-FR"/>
        </w:rPr>
      </w:pPr>
      <w:r w:rsidRPr="009B4F87">
        <w:rPr>
          <w:b/>
          <w:bCs/>
          <w:lang w:val="fr-FR"/>
        </w:rPr>
        <w:t xml:space="preserve">Merci à Catherine D, Emilie, Sandrine, Sylvie… et </w:t>
      </w:r>
      <w:r w:rsidR="00297C44">
        <w:rPr>
          <w:b/>
          <w:bCs/>
          <w:lang w:val="fr-FR"/>
        </w:rPr>
        <w:t>toutes/</w:t>
      </w:r>
      <w:r w:rsidRPr="009B4F87">
        <w:rPr>
          <w:b/>
          <w:bCs/>
          <w:lang w:val="fr-FR"/>
        </w:rPr>
        <w:t>tous les collègues qui nous ont fait remonter des informations.</w:t>
      </w:r>
    </w:p>
    <w:p w14:paraId="15897C40" w14:textId="569181AA" w:rsidR="002773B7" w:rsidRPr="002773B7" w:rsidRDefault="002773B7" w:rsidP="008A7B63">
      <w:pPr>
        <w:jc w:val="both"/>
        <w:rPr>
          <w:lang w:val="fr-FR"/>
        </w:rPr>
      </w:pPr>
    </w:p>
    <w:sectPr w:rsidR="002773B7" w:rsidRPr="002773B7" w:rsidSect="008128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8572E"/>
    <w:multiLevelType w:val="hybridMultilevel"/>
    <w:tmpl w:val="570E2918"/>
    <w:lvl w:ilvl="0" w:tplc="BA6E94F0">
      <w:numFmt w:val="bullet"/>
      <w:lvlText w:val="-"/>
      <w:lvlJc w:val="left"/>
      <w:pPr>
        <w:ind w:left="460" w:hanging="360"/>
      </w:pPr>
      <w:rPr>
        <w:rFonts w:ascii="Calibri" w:eastAsiaTheme="minorHAns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 w15:restartNumberingAfterBreak="0">
    <w:nsid w:val="7E35120B"/>
    <w:multiLevelType w:val="hybridMultilevel"/>
    <w:tmpl w:val="D25CB856"/>
    <w:lvl w:ilvl="0" w:tplc="9C8E9E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9B"/>
    <w:rsid w:val="0000712D"/>
    <w:rsid w:val="0003144A"/>
    <w:rsid w:val="000364C4"/>
    <w:rsid w:val="000379C4"/>
    <w:rsid w:val="00062697"/>
    <w:rsid w:val="00063B47"/>
    <w:rsid w:val="00063E69"/>
    <w:rsid w:val="000766C5"/>
    <w:rsid w:val="00082008"/>
    <w:rsid w:val="00086C5B"/>
    <w:rsid w:val="00090B4D"/>
    <w:rsid w:val="000A0561"/>
    <w:rsid w:val="000C5033"/>
    <w:rsid w:val="00114108"/>
    <w:rsid w:val="001479D3"/>
    <w:rsid w:val="001A1A9C"/>
    <w:rsid w:val="001F432E"/>
    <w:rsid w:val="002179D0"/>
    <w:rsid w:val="002367EA"/>
    <w:rsid w:val="002627D7"/>
    <w:rsid w:val="0026383C"/>
    <w:rsid w:val="00264FC6"/>
    <w:rsid w:val="002773B7"/>
    <w:rsid w:val="00292861"/>
    <w:rsid w:val="00297C44"/>
    <w:rsid w:val="002B3DF5"/>
    <w:rsid w:val="002D41E8"/>
    <w:rsid w:val="002E4033"/>
    <w:rsid w:val="003114E8"/>
    <w:rsid w:val="00315150"/>
    <w:rsid w:val="0032731C"/>
    <w:rsid w:val="00334F3E"/>
    <w:rsid w:val="00340712"/>
    <w:rsid w:val="00371715"/>
    <w:rsid w:val="003A32C0"/>
    <w:rsid w:val="003C500F"/>
    <w:rsid w:val="003D2245"/>
    <w:rsid w:val="00427802"/>
    <w:rsid w:val="004429A2"/>
    <w:rsid w:val="00454CD0"/>
    <w:rsid w:val="00457855"/>
    <w:rsid w:val="004623C2"/>
    <w:rsid w:val="0047144D"/>
    <w:rsid w:val="004814E5"/>
    <w:rsid w:val="004B49B2"/>
    <w:rsid w:val="004B4A3C"/>
    <w:rsid w:val="004C03B0"/>
    <w:rsid w:val="004C3E10"/>
    <w:rsid w:val="004E0342"/>
    <w:rsid w:val="004E204A"/>
    <w:rsid w:val="004F3301"/>
    <w:rsid w:val="00523BBF"/>
    <w:rsid w:val="00545368"/>
    <w:rsid w:val="00563BBB"/>
    <w:rsid w:val="00573C95"/>
    <w:rsid w:val="005D4258"/>
    <w:rsid w:val="005F59B0"/>
    <w:rsid w:val="00674756"/>
    <w:rsid w:val="006A11D4"/>
    <w:rsid w:val="006B52B6"/>
    <w:rsid w:val="006D4BA8"/>
    <w:rsid w:val="0070752D"/>
    <w:rsid w:val="007317D0"/>
    <w:rsid w:val="0075541A"/>
    <w:rsid w:val="007761C0"/>
    <w:rsid w:val="0077737C"/>
    <w:rsid w:val="007957E0"/>
    <w:rsid w:val="007D4F6E"/>
    <w:rsid w:val="007D5202"/>
    <w:rsid w:val="00812846"/>
    <w:rsid w:val="0083068B"/>
    <w:rsid w:val="00830A4A"/>
    <w:rsid w:val="00844590"/>
    <w:rsid w:val="0087334D"/>
    <w:rsid w:val="008760F3"/>
    <w:rsid w:val="00882717"/>
    <w:rsid w:val="00897F12"/>
    <w:rsid w:val="008A13FD"/>
    <w:rsid w:val="008A7B63"/>
    <w:rsid w:val="008C536C"/>
    <w:rsid w:val="009177CF"/>
    <w:rsid w:val="00920CF9"/>
    <w:rsid w:val="00956FDA"/>
    <w:rsid w:val="00961CA0"/>
    <w:rsid w:val="00962E6B"/>
    <w:rsid w:val="00970972"/>
    <w:rsid w:val="00983A93"/>
    <w:rsid w:val="00990E63"/>
    <w:rsid w:val="00995A19"/>
    <w:rsid w:val="009B4F87"/>
    <w:rsid w:val="009E1E99"/>
    <w:rsid w:val="009F041F"/>
    <w:rsid w:val="00A01CCB"/>
    <w:rsid w:val="00A126BE"/>
    <w:rsid w:val="00A175BA"/>
    <w:rsid w:val="00A24CEA"/>
    <w:rsid w:val="00A62A93"/>
    <w:rsid w:val="00A834AE"/>
    <w:rsid w:val="00A934A1"/>
    <w:rsid w:val="00AB170C"/>
    <w:rsid w:val="00AB3846"/>
    <w:rsid w:val="00AD23E5"/>
    <w:rsid w:val="00AE172D"/>
    <w:rsid w:val="00B23424"/>
    <w:rsid w:val="00B23814"/>
    <w:rsid w:val="00B331FB"/>
    <w:rsid w:val="00B34A18"/>
    <w:rsid w:val="00B3559B"/>
    <w:rsid w:val="00B47C3B"/>
    <w:rsid w:val="00B534BE"/>
    <w:rsid w:val="00B71A45"/>
    <w:rsid w:val="00B75D2D"/>
    <w:rsid w:val="00B94776"/>
    <w:rsid w:val="00BA7863"/>
    <w:rsid w:val="00BD0FE9"/>
    <w:rsid w:val="00C2000D"/>
    <w:rsid w:val="00C40D69"/>
    <w:rsid w:val="00C61465"/>
    <w:rsid w:val="00C87453"/>
    <w:rsid w:val="00CB7FE4"/>
    <w:rsid w:val="00CC5103"/>
    <w:rsid w:val="00CD4F82"/>
    <w:rsid w:val="00D01C8D"/>
    <w:rsid w:val="00D1209C"/>
    <w:rsid w:val="00D31830"/>
    <w:rsid w:val="00D3592D"/>
    <w:rsid w:val="00D60779"/>
    <w:rsid w:val="00DA7992"/>
    <w:rsid w:val="00DC170E"/>
    <w:rsid w:val="00DF540E"/>
    <w:rsid w:val="00E0069C"/>
    <w:rsid w:val="00E22E85"/>
    <w:rsid w:val="00E233B7"/>
    <w:rsid w:val="00E27678"/>
    <w:rsid w:val="00E37D2B"/>
    <w:rsid w:val="00E60D6D"/>
    <w:rsid w:val="00E70D97"/>
    <w:rsid w:val="00E8715C"/>
    <w:rsid w:val="00E945E0"/>
    <w:rsid w:val="00EA18C1"/>
    <w:rsid w:val="00EB356E"/>
    <w:rsid w:val="00F233C8"/>
    <w:rsid w:val="00F55A81"/>
    <w:rsid w:val="00F61DED"/>
    <w:rsid w:val="00F638C1"/>
    <w:rsid w:val="00F65464"/>
    <w:rsid w:val="00FB5A3E"/>
    <w:rsid w:val="00FC6976"/>
    <w:rsid w:val="00FE31FA"/>
    <w:rsid w:val="00FF1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9D69"/>
  <w15:chartTrackingRefBased/>
  <w15:docId w15:val="{0D1FA6CB-1DD8-4A05-8214-DB87083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3301"/>
    <w:pPr>
      <w:ind w:left="720"/>
      <w:contextualSpacing/>
    </w:pPr>
  </w:style>
  <w:style w:type="character" w:styleId="Lienhypertexte">
    <w:name w:val="Hyperlink"/>
    <w:basedOn w:val="Policepardfaut"/>
    <w:uiPriority w:val="99"/>
    <w:unhideWhenUsed/>
    <w:rsid w:val="002B3DF5"/>
    <w:rPr>
      <w:color w:val="0563C1" w:themeColor="hyperlink"/>
      <w:u w:val="single"/>
    </w:rPr>
  </w:style>
  <w:style w:type="character" w:styleId="Mentionnonrsolue">
    <w:name w:val="Unresolved Mention"/>
    <w:basedOn w:val="Policepardfaut"/>
    <w:uiPriority w:val="99"/>
    <w:semiHidden/>
    <w:unhideWhenUsed/>
    <w:rsid w:val="002B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tions.se-unsa.org/amiens/spip.php?article1286"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Leneveu</dc:creator>
  <cp:keywords/>
  <dc:description/>
  <cp:lastModifiedBy>Xavier LENEVEU</cp:lastModifiedBy>
  <cp:revision>3</cp:revision>
  <dcterms:created xsi:type="dcterms:W3CDTF">2021-02-18T20:33:00Z</dcterms:created>
  <dcterms:modified xsi:type="dcterms:W3CDTF">2021-02-19T06:02:00Z</dcterms:modified>
</cp:coreProperties>
</file>