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94C70" w14:textId="73C9202F" w:rsidR="000745B8" w:rsidRPr="000745B8" w:rsidRDefault="000745B8" w:rsidP="000745B8">
      <w:pPr>
        <w:jc w:val="center"/>
        <w:rPr>
          <w:rFonts w:eastAsiaTheme="majorEastAsia" w:cstheme="majorBidi"/>
          <w:b/>
          <w:color w:val="002060"/>
          <w:sz w:val="32"/>
          <w:szCs w:val="32"/>
        </w:rPr>
      </w:pPr>
      <w:r>
        <w:rPr>
          <w:rFonts w:eastAsiaTheme="majorEastAsia" w:cstheme="majorBidi"/>
          <w:b/>
          <w:color w:val="002060"/>
          <w:sz w:val="32"/>
          <w:szCs w:val="32"/>
        </w:rPr>
        <w:t>Fiche</w:t>
      </w:r>
      <w:r w:rsidRPr="000745B8">
        <w:rPr>
          <w:rFonts w:eastAsiaTheme="majorEastAsia" w:cstheme="majorBidi"/>
          <w:b/>
          <w:color w:val="002060"/>
          <w:sz w:val="32"/>
          <w:szCs w:val="32"/>
        </w:rPr>
        <w:t xml:space="preserve"> Été du pro</w:t>
      </w:r>
    </w:p>
    <w:p w14:paraId="5D1E5FA3" w14:textId="0B0D606B" w:rsidR="00F27B07" w:rsidRDefault="000745B8" w:rsidP="000745B8">
      <w:pPr>
        <w:jc w:val="center"/>
        <w:rPr>
          <w:rFonts w:eastAsiaTheme="majorEastAsia" w:cstheme="majorBidi"/>
          <w:b/>
          <w:color w:val="002060"/>
          <w:sz w:val="32"/>
          <w:szCs w:val="32"/>
        </w:rPr>
      </w:pPr>
      <w:r w:rsidRPr="000745B8">
        <w:rPr>
          <w:rFonts w:eastAsiaTheme="majorEastAsia" w:cstheme="majorBidi"/>
          <w:b/>
          <w:color w:val="002060"/>
          <w:sz w:val="32"/>
          <w:szCs w:val="32"/>
        </w:rPr>
        <w:t>Éléments en complément de l’instruction École ouverte</w:t>
      </w:r>
    </w:p>
    <w:p w14:paraId="1BB602C2" w14:textId="77777777" w:rsidR="00026151" w:rsidRDefault="00026151" w:rsidP="00026151">
      <w:pPr>
        <w:pStyle w:val="Titre2"/>
        <w:rPr>
          <w:color w:val="002060"/>
        </w:rPr>
      </w:pPr>
    </w:p>
    <w:p w14:paraId="1B389C59" w14:textId="0E5EB3B3" w:rsidR="00026151" w:rsidRDefault="00026151" w:rsidP="00026151">
      <w:pPr>
        <w:rPr>
          <w:rFonts w:eastAsiaTheme="majorEastAsia" w:cstheme="majorBidi"/>
          <w:b/>
          <w:color w:val="002060"/>
          <w:sz w:val="26"/>
          <w:szCs w:val="26"/>
        </w:rPr>
      </w:pPr>
      <w:r w:rsidRPr="00026151">
        <w:rPr>
          <w:rFonts w:eastAsiaTheme="majorEastAsia" w:cstheme="majorBidi"/>
          <w:b/>
          <w:color w:val="002060"/>
          <w:sz w:val="26"/>
          <w:szCs w:val="26"/>
        </w:rPr>
        <w:t>Descriptif du dispositif</w:t>
      </w:r>
    </w:p>
    <w:p w14:paraId="18DC8477" w14:textId="77777777" w:rsidR="00026151" w:rsidRPr="00024A34" w:rsidRDefault="00026151" w:rsidP="00026151">
      <w:pPr>
        <w:spacing w:before="120" w:after="120" w:line="240" w:lineRule="auto"/>
        <w:jc w:val="both"/>
      </w:pPr>
      <w:r w:rsidRPr="00024A34">
        <w:t>Dans le cadre du dispositif vacances apprenantes, l’Été du pro permet aux lycéens professionnels de reprendre durant l'été leurs apprentissages, tout en profitant de sorties et d'activités plus ludiques leur permettant de profiter de leur été.</w:t>
      </w:r>
    </w:p>
    <w:p w14:paraId="5ED27E0E" w14:textId="77777777" w:rsidR="00026151" w:rsidRPr="00156E0C" w:rsidRDefault="00026151" w:rsidP="00026151">
      <w:pPr>
        <w:spacing w:before="120" w:after="120" w:line="240" w:lineRule="auto"/>
        <w:jc w:val="both"/>
        <w:rPr>
          <w:rFonts w:cs="Arial"/>
          <w:b/>
          <w:bCs/>
          <w:sz w:val="20"/>
          <w:szCs w:val="20"/>
        </w:rPr>
      </w:pPr>
    </w:p>
    <w:p w14:paraId="4C3ABB19" w14:textId="77777777" w:rsidR="00026151" w:rsidRPr="00026151" w:rsidRDefault="00026151" w:rsidP="00026151">
      <w:pPr>
        <w:pStyle w:val="Titre2"/>
        <w:rPr>
          <w:color w:val="002060"/>
        </w:rPr>
      </w:pPr>
      <w:r w:rsidRPr="00026151">
        <w:rPr>
          <w:color w:val="002060"/>
        </w:rPr>
        <w:t>Élèves bénéficiaires</w:t>
      </w:r>
    </w:p>
    <w:p w14:paraId="04288A06" w14:textId="77777777" w:rsidR="00026151" w:rsidRPr="00024A34" w:rsidRDefault="00026151" w:rsidP="00024A34">
      <w:pPr>
        <w:spacing w:before="120" w:after="120" w:line="240" w:lineRule="auto"/>
        <w:jc w:val="both"/>
      </w:pPr>
      <w:r w:rsidRPr="00024A34">
        <w:t>Les élèves des lycées professionnels :</w:t>
      </w:r>
    </w:p>
    <w:p w14:paraId="2243B6CA" w14:textId="77777777" w:rsidR="00026151" w:rsidRPr="00024A34" w:rsidRDefault="00026151" w:rsidP="00024A34">
      <w:pPr>
        <w:pStyle w:val="Paragraphedeliste"/>
        <w:numPr>
          <w:ilvl w:val="0"/>
          <w:numId w:val="8"/>
        </w:numPr>
        <w:spacing w:before="120" w:after="120" w:line="240" w:lineRule="auto"/>
        <w:jc w:val="both"/>
      </w:pPr>
      <w:r w:rsidRPr="00024A34">
        <w:t>inscrits dans un cycle de formation professionnelle en 2020/2021, dans le but de renforcer les aptitudes et compétences professionnelles et/ou générales ;</w:t>
      </w:r>
    </w:p>
    <w:p w14:paraId="1AC8161D" w14:textId="77777777" w:rsidR="00026151" w:rsidRPr="00024A34" w:rsidRDefault="00026151" w:rsidP="00024A34">
      <w:pPr>
        <w:pStyle w:val="Paragraphedeliste"/>
        <w:numPr>
          <w:ilvl w:val="0"/>
          <w:numId w:val="8"/>
        </w:numPr>
        <w:spacing w:before="120" w:after="120" w:line="240" w:lineRule="auto"/>
        <w:jc w:val="both"/>
      </w:pPr>
      <w:r w:rsidRPr="00024A34">
        <w:t>n’ayant pas obtenu leur diplôme professionnel à la session d’examen de juin 2021 ou bénéficiaire de la session de septembre 2021 ;</w:t>
      </w:r>
    </w:p>
    <w:p w14:paraId="090508E4" w14:textId="77777777" w:rsidR="00026151" w:rsidRPr="00024A34" w:rsidRDefault="00026151" w:rsidP="00024A34">
      <w:pPr>
        <w:pStyle w:val="Paragraphedeliste"/>
        <w:numPr>
          <w:ilvl w:val="0"/>
          <w:numId w:val="8"/>
        </w:numPr>
        <w:spacing w:before="120" w:after="120" w:line="240" w:lineRule="auto"/>
        <w:jc w:val="both"/>
      </w:pPr>
      <w:r w:rsidRPr="00024A34">
        <w:t>en fin de parcours en voie professionnelle, dans une perspective de préparation d’une insertion professionnelle, d’une poursuite d’études y compris vers l’enseignement supérieur en lien avec les campus ou d’un contrat d’apprentissage ;</w:t>
      </w:r>
    </w:p>
    <w:p w14:paraId="2132C8B4" w14:textId="77777777" w:rsidR="00026151" w:rsidRPr="00024A34" w:rsidRDefault="00026151" w:rsidP="00024A34">
      <w:pPr>
        <w:pStyle w:val="Paragraphedeliste"/>
        <w:numPr>
          <w:ilvl w:val="0"/>
          <w:numId w:val="8"/>
        </w:numPr>
        <w:spacing w:before="120" w:after="120" w:line="240" w:lineRule="auto"/>
        <w:jc w:val="both"/>
        <w:rPr>
          <w:rFonts w:cs="Arial"/>
          <w:bCs/>
          <w:sz w:val="20"/>
          <w:szCs w:val="20"/>
        </w:rPr>
      </w:pPr>
      <w:r w:rsidRPr="00024A34">
        <w:t>souhaitant découvrir une nouvelle filière professionnelle dans le cadre d’un projet de réorientation envisagée ou bénéficier d’une découverte</w:t>
      </w:r>
      <w:r w:rsidRPr="00024A34">
        <w:rPr>
          <w:rFonts w:cs="Arial"/>
          <w:bCs/>
          <w:sz w:val="20"/>
          <w:szCs w:val="20"/>
        </w:rPr>
        <w:t xml:space="preserve"> des métiers, notamment pour des collégiens, issus de troisième prépa métier.</w:t>
      </w:r>
    </w:p>
    <w:p w14:paraId="344A6BDF" w14:textId="77777777" w:rsidR="00026151" w:rsidRPr="00026151" w:rsidRDefault="00026151" w:rsidP="00026151">
      <w:pPr>
        <w:pStyle w:val="Titre2"/>
        <w:rPr>
          <w:color w:val="002060"/>
        </w:rPr>
      </w:pPr>
    </w:p>
    <w:p w14:paraId="2619129F" w14:textId="77777777" w:rsidR="00026151" w:rsidRPr="00026151" w:rsidRDefault="00026151" w:rsidP="00026151">
      <w:pPr>
        <w:pStyle w:val="Titre2"/>
        <w:rPr>
          <w:color w:val="002060"/>
        </w:rPr>
      </w:pPr>
      <w:r w:rsidRPr="00026151">
        <w:rPr>
          <w:color w:val="002060"/>
        </w:rPr>
        <w:t>Organisation</w:t>
      </w:r>
    </w:p>
    <w:p w14:paraId="2AEC119D" w14:textId="77777777" w:rsidR="00026151" w:rsidRPr="00024A34" w:rsidRDefault="00026151" w:rsidP="00026151">
      <w:pPr>
        <w:spacing w:before="120" w:after="120" w:line="240" w:lineRule="auto"/>
        <w:jc w:val="both"/>
      </w:pPr>
      <w:r w:rsidRPr="00024A34">
        <w:t xml:space="preserve">Les élèves de lycée professionnel pourront être accueillis dans leur établissement d’origine ou dans un établissement proposant un accès aux plateaux techniques nécessaires à leur formation initiale. </w:t>
      </w:r>
    </w:p>
    <w:p w14:paraId="3D6C8230" w14:textId="77777777" w:rsidR="00026151" w:rsidRPr="00024A34" w:rsidRDefault="00026151" w:rsidP="00026151">
      <w:pPr>
        <w:spacing w:before="120" w:after="120" w:line="240" w:lineRule="auto"/>
        <w:jc w:val="both"/>
      </w:pPr>
      <w:r w:rsidRPr="00024A34">
        <w:t>Les campus des métiers et des qualifications pourront faciliter cette organisation en réseau et mobiliser le cas échéant leur capacité d’hébergement (internat, résidence…). Les activités sur plateaux techniques se feront toujours sous l’encadrement professeurs d’enseignement professionnel de l’établissement d’accueil et par petits groupes.</w:t>
      </w:r>
    </w:p>
    <w:p w14:paraId="06CB303A" w14:textId="77777777" w:rsidR="00026151" w:rsidRPr="00026151" w:rsidRDefault="00026151" w:rsidP="00026151">
      <w:pPr>
        <w:pStyle w:val="Titre2"/>
        <w:rPr>
          <w:color w:val="002060"/>
        </w:rPr>
      </w:pPr>
    </w:p>
    <w:p w14:paraId="3C05CACE" w14:textId="77777777" w:rsidR="00026151" w:rsidRPr="00026151" w:rsidRDefault="00026151" w:rsidP="00026151">
      <w:pPr>
        <w:pStyle w:val="Titre2"/>
        <w:rPr>
          <w:color w:val="002060"/>
        </w:rPr>
      </w:pPr>
      <w:r w:rsidRPr="00026151">
        <w:rPr>
          <w:color w:val="002060"/>
        </w:rPr>
        <w:t>Partenaires mobilisables</w:t>
      </w:r>
    </w:p>
    <w:p w14:paraId="45422158" w14:textId="77777777" w:rsidR="00026151" w:rsidRPr="00024A34" w:rsidRDefault="00026151" w:rsidP="00026151">
      <w:pPr>
        <w:numPr>
          <w:ilvl w:val="0"/>
          <w:numId w:val="6"/>
        </w:numPr>
        <w:spacing w:before="100" w:beforeAutospacing="1" w:after="100" w:afterAutospacing="1" w:line="240" w:lineRule="auto"/>
        <w:jc w:val="both"/>
      </w:pPr>
      <w:r w:rsidRPr="00024A34">
        <w:t>professeurs des établissements partenaires, notamment dans le cadre des familles de métiers et de la préparation à la poursuite d’études ;</w:t>
      </w:r>
    </w:p>
    <w:p w14:paraId="15060503" w14:textId="77777777" w:rsidR="00026151" w:rsidRPr="00024A34" w:rsidRDefault="00026151" w:rsidP="00026151">
      <w:pPr>
        <w:numPr>
          <w:ilvl w:val="0"/>
          <w:numId w:val="6"/>
        </w:numPr>
        <w:spacing w:before="100" w:beforeAutospacing="1" w:after="100" w:afterAutospacing="1" w:line="240" w:lineRule="auto"/>
        <w:jc w:val="both"/>
      </w:pPr>
      <w:r w:rsidRPr="00024A34">
        <w:lastRenderedPageBreak/>
        <w:t>intervenants de l’orientation : psychologues de l’éducation nationale, ingénieurs pour l’école….</w:t>
      </w:r>
    </w:p>
    <w:p w14:paraId="22FB07FA" w14:textId="77777777" w:rsidR="00026151" w:rsidRPr="00D649CD" w:rsidRDefault="00026151" w:rsidP="00026151">
      <w:pPr>
        <w:numPr>
          <w:ilvl w:val="0"/>
          <w:numId w:val="6"/>
        </w:numPr>
        <w:spacing w:before="100" w:beforeAutospacing="1" w:after="100" w:afterAutospacing="1" w:line="240" w:lineRule="auto"/>
        <w:jc w:val="both"/>
      </w:pPr>
      <w:r w:rsidRPr="00D649CD">
        <w:t>intervenants professionnels des entreprises du territoire, des administrations, des collectivités, des représentants et associations professionnels…</w:t>
      </w:r>
    </w:p>
    <w:p w14:paraId="136DCB07" w14:textId="77777777" w:rsidR="00026151" w:rsidRPr="00D649CD" w:rsidRDefault="00026151" w:rsidP="00026151">
      <w:pPr>
        <w:numPr>
          <w:ilvl w:val="0"/>
          <w:numId w:val="6"/>
        </w:numPr>
        <w:spacing w:before="100" w:beforeAutospacing="1" w:after="100" w:afterAutospacing="1" w:line="240" w:lineRule="auto"/>
        <w:jc w:val="both"/>
      </w:pPr>
      <w:r w:rsidRPr="00D649CD">
        <w:t>intervenants du sport, des arts et de la culture : infrastructures sportives, musées, salles de spectacle, cinéma…</w:t>
      </w:r>
    </w:p>
    <w:p w14:paraId="761290C6" w14:textId="77777777" w:rsidR="00026151" w:rsidRPr="00026151" w:rsidRDefault="00026151" w:rsidP="00026151">
      <w:pPr>
        <w:pStyle w:val="Titre2"/>
        <w:rPr>
          <w:color w:val="002060"/>
        </w:rPr>
      </w:pPr>
    </w:p>
    <w:p w14:paraId="7199067E" w14:textId="724FE477" w:rsidR="00026151" w:rsidRPr="00D649CD" w:rsidRDefault="00026151" w:rsidP="00D649CD">
      <w:pPr>
        <w:pStyle w:val="Titre2"/>
        <w:rPr>
          <w:color w:val="002060"/>
        </w:rPr>
      </w:pPr>
      <w:r w:rsidRPr="00026151">
        <w:rPr>
          <w:color w:val="002060"/>
        </w:rPr>
        <w:t>Financement </w:t>
      </w:r>
    </w:p>
    <w:p w14:paraId="270C00F7" w14:textId="77777777" w:rsidR="00026151" w:rsidRPr="00D649CD" w:rsidRDefault="00026151" w:rsidP="00D649CD">
      <w:pPr>
        <w:spacing w:before="100" w:beforeAutospacing="1" w:after="100" w:afterAutospacing="1" w:line="240" w:lineRule="auto"/>
        <w:jc w:val="both"/>
      </w:pPr>
      <w:r w:rsidRPr="00D649CD">
        <w:t>Les financements de l’État (programme 230) dédiés au dispositif permettent de couvrir les dépenses de vacations des intervenants ou de subvention aux associations, selon les cas.</w:t>
      </w:r>
    </w:p>
    <w:p w14:paraId="128DBEA1" w14:textId="77777777" w:rsidR="00026151" w:rsidRPr="00156E0C" w:rsidRDefault="00026151" w:rsidP="00026151">
      <w:pPr>
        <w:spacing w:before="120" w:after="120" w:line="240" w:lineRule="auto"/>
        <w:jc w:val="both"/>
        <w:rPr>
          <w:rFonts w:cs="Arial"/>
          <w:sz w:val="20"/>
          <w:szCs w:val="20"/>
        </w:rPr>
      </w:pPr>
    </w:p>
    <w:p w14:paraId="622082B6" w14:textId="77777777" w:rsidR="00026151" w:rsidRDefault="00026151" w:rsidP="00026151">
      <w:pPr>
        <w:rPr>
          <w:rFonts w:eastAsiaTheme="majorEastAsia" w:cstheme="majorBidi"/>
          <w:b/>
          <w:color w:val="002060"/>
          <w:sz w:val="32"/>
          <w:szCs w:val="32"/>
        </w:rPr>
      </w:pPr>
    </w:p>
    <w:p w14:paraId="266C8707" w14:textId="77777777" w:rsidR="00026151" w:rsidRPr="00F27B07" w:rsidRDefault="00026151" w:rsidP="000745B8">
      <w:pPr>
        <w:jc w:val="center"/>
      </w:pPr>
    </w:p>
    <w:p w14:paraId="227B2306" w14:textId="6F9A098C" w:rsidR="00752CA6" w:rsidRDefault="00752CA6" w:rsidP="00412F69">
      <w:pPr>
        <w:tabs>
          <w:tab w:val="left" w:pos="5088"/>
        </w:tabs>
      </w:pPr>
      <w:r>
        <w:t xml:space="preserve"> </w:t>
      </w:r>
    </w:p>
    <w:p w14:paraId="68FB54A0" w14:textId="6DE72CC6" w:rsidR="00752CA6" w:rsidRDefault="00752CA6" w:rsidP="004E16F9"/>
    <w:p w14:paraId="19491C71" w14:textId="7AB2E715" w:rsidR="00653E01" w:rsidRDefault="00653E01" w:rsidP="00531830"/>
    <w:p w14:paraId="2ED807A6" w14:textId="17B0C577" w:rsidR="00531830" w:rsidRDefault="00531830" w:rsidP="00531830"/>
    <w:p w14:paraId="4C39C0E6" w14:textId="63CC10FE" w:rsidR="00531830" w:rsidRDefault="00CC60E1" w:rsidP="004E16F9">
      <w:r>
        <w:t xml:space="preserve"> </w:t>
      </w:r>
    </w:p>
    <w:p w14:paraId="2684D7C4" w14:textId="00CAD2B1" w:rsidR="00531830" w:rsidRPr="00531830" w:rsidRDefault="00531830" w:rsidP="00531830"/>
    <w:p w14:paraId="18BE28BA" w14:textId="39A9404C" w:rsidR="00531830" w:rsidRDefault="00531830" w:rsidP="00531830"/>
    <w:p w14:paraId="0616FB44" w14:textId="46826E07" w:rsidR="00531830" w:rsidRDefault="00531830" w:rsidP="00531830"/>
    <w:p w14:paraId="7FCF9D19" w14:textId="7C56C395" w:rsidR="001D5E77" w:rsidRDefault="001D5E77" w:rsidP="00531830"/>
    <w:p w14:paraId="5173F001" w14:textId="521F2A3A" w:rsidR="00EB79B6" w:rsidRDefault="00EB79B6" w:rsidP="00531830"/>
    <w:p w14:paraId="10A3E603" w14:textId="2D700BEB" w:rsidR="00607ACC" w:rsidRDefault="00607ACC" w:rsidP="00531830"/>
    <w:p w14:paraId="3E85F16A" w14:textId="628F0CCE" w:rsidR="00607ACC" w:rsidRDefault="00607ACC" w:rsidP="00531830"/>
    <w:p w14:paraId="7D1C1ABB" w14:textId="6C8AE669" w:rsidR="00607ACC" w:rsidRDefault="00607ACC" w:rsidP="00531830"/>
    <w:p w14:paraId="718A26D8" w14:textId="500E4D9B" w:rsidR="00D04A5E" w:rsidRDefault="00D04A5E" w:rsidP="00531830"/>
    <w:p w14:paraId="09465802" w14:textId="6B29A5C2" w:rsidR="00607ACC" w:rsidRDefault="00607ACC" w:rsidP="00531830"/>
    <w:p w14:paraId="43BA748C" w14:textId="519208F5" w:rsidR="002E5F30" w:rsidRDefault="002E5F30" w:rsidP="00C34BC4">
      <w:bookmarkStart w:id="0" w:name="_GoBack"/>
      <w:bookmarkEnd w:id="0"/>
    </w:p>
    <w:p w14:paraId="52A37122" w14:textId="52081B89" w:rsidR="00C73B3C" w:rsidRPr="00C34BC4" w:rsidRDefault="00C73B3C" w:rsidP="00C34BC4"/>
    <w:sectPr w:rsidR="00C73B3C" w:rsidRPr="00C34BC4" w:rsidSect="00F0137B">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9EAA" w14:textId="77777777" w:rsidR="00FC082D" w:rsidRDefault="00FC082D" w:rsidP="00F0137B">
      <w:pPr>
        <w:spacing w:after="0" w:line="240" w:lineRule="auto"/>
      </w:pPr>
      <w:r>
        <w:separator/>
      </w:r>
    </w:p>
  </w:endnote>
  <w:endnote w:type="continuationSeparator" w:id="0">
    <w:p w14:paraId="72FC517B" w14:textId="77777777" w:rsidR="00FC082D" w:rsidRDefault="00FC082D" w:rsidP="00F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412F" w14:textId="333B2957" w:rsidR="001B0878" w:rsidRPr="001F532C" w:rsidRDefault="00412F69" w:rsidP="001F532C">
    <w:pPr>
      <w:pStyle w:val="Pieddepage"/>
      <w:jc w:val="center"/>
      <w:rPr>
        <w:sz w:val="20"/>
        <w:szCs w:val="20"/>
      </w:rPr>
    </w:pPr>
    <w:r>
      <w:rPr>
        <w:sz w:val="20"/>
        <w:szCs w:val="20"/>
      </w:rPr>
      <w:t>Fiche Eté du pro</w:t>
    </w:r>
    <w:r w:rsidR="003125B2">
      <w:rPr>
        <w:sz w:val="20"/>
        <w:szCs w:val="20"/>
      </w:rPr>
      <w:t xml:space="preserve"> </w:t>
    </w:r>
    <w:r w:rsidR="001F532C" w:rsidRPr="001F532C">
      <w:rPr>
        <w:sz w:val="20"/>
        <w:szCs w:val="20"/>
      </w:rPr>
      <w:t xml:space="preserve">Page </w:t>
    </w:r>
    <w:r w:rsidR="001F532C" w:rsidRPr="001F532C">
      <w:rPr>
        <w:b/>
        <w:bCs/>
        <w:sz w:val="20"/>
        <w:szCs w:val="20"/>
      </w:rPr>
      <w:fldChar w:fldCharType="begin"/>
    </w:r>
    <w:r w:rsidR="001F532C" w:rsidRPr="001F532C">
      <w:rPr>
        <w:b/>
        <w:bCs/>
        <w:sz w:val="20"/>
        <w:szCs w:val="20"/>
      </w:rPr>
      <w:instrText>PAGE  \* Arabic  \* MERGEFORMAT</w:instrText>
    </w:r>
    <w:r w:rsidR="001F532C" w:rsidRPr="001F532C">
      <w:rPr>
        <w:b/>
        <w:bCs/>
        <w:sz w:val="20"/>
        <w:szCs w:val="20"/>
      </w:rPr>
      <w:fldChar w:fldCharType="separate"/>
    </w:r>
    <w:r w:rsidR="00390A5F">
      <w:rPr>
        <w:b/>
        <w:bCs/>
        <w:noProof/>
        <w:sz w:val="20"/>
        <w:szCs w:val="20"/>
      </w:rPr>
      <w:t>1</w:t>
    </w:r>
    <w:r w:rsidR="001F532C" w:rsidRPr="001F532C">
      <w:rPr>
        <w:b/>
        <w:bCs/>
        <w:sz w:val="20"/>
        <w:szCs w:val="20"/>
      </w:rPr>
      <w:fldChar w:fldCharType="end"/>
    </w:r>
    <w:r w:rsidR="001F532C" w:rsidRPr="001F532C">
      <w:rPr>
        <w:sz w:val="20"/>
        <w:szCs w:val="20"/>
      </w:rPr>
      <w:t xml:space="preserve"> sur </w:t>
    </w:r>
    <w:r w:rsidR="001F532C" w:rsidRPr="001F532C">
      <w:rPr>
        <w:b/>
        <w:bCs/>
        <w:sz w:val="20"/>
        <w:szCs w:val="20"/>
      </w:rPr>
      <w:fldChar w:fldCharType="begin"/>
    </w:r>
    <w:r w:rsidR="001F532C" w:rsidRPr="001F532C">
      <w:rPr>
        <w:b/>
        <w:bCs/>
        <w:sz w:val="20"/>
        <w:szCs w:val="20"/>
      </w:rPr>
      <w:instrText>NUMPAGES  \* Arabic  \* MERGEFORMAT</w:instrText>
    </w:r>
    <w:r w:rsidR="001F532C" w:rsidRPr="001F532C">
      <w:rPr>
        <w:b/>
        <w:bCs/>
        <w:sz w:val="20"/>
        <w:szCs w:val="20"/>
      </w:rPr>
      <w:fldChar w:fldCharType="separate"/>
    </w:r>
    <w:r w:rsidR="00390A5F">
      <w:rPr>
        <w:b/>
        <w:bCs/>
        <w:noProof/>
        <w:sz w:val="20"/>
        <w:szCs w:val="20"/>
      </w:rPr>
      <w:t>2</w:t>
    </w:r>
    <w:r w:rsidR="001F532C" w:rsidRPr="001F532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B146" w14:textId="77777777" w:rsidR="00FC082D" w:rsidRDefault="00FC082D" w:rsidP="00F0137B">
      <w:pPr>
        <w:spacing w:after="0" w:line="240" w:lineRule="auto"/>
      </w:pPr>
      <w:r>
        <w:separator/>
      </w:r>
    </w:p>
  </w:footnote>
  <w:footnote w:type="continuationSeparator" w:id="0">
    <w:p w14:paraId="588464AF" w14:textId="77777777" w:rsidR="00FC082D" w:rsidRDefault="00FC082D" w:rsidP="00F0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A04D" w14:textId="5D3FCD46" w:rsidR="00F0137B" w:rsidRDefault="003125B2">
    <w:pPr>
      <w:pStyle w:val="En-tte"/>
    </w:pPr>
    <w:r>
      <w:rPr>
        <w:noProof/>
        <w:lang w:eastAsia="fr-FR"/>
      </w:rPr>
      <w:drawing>
        <wp:anchor distT="0" distB="0" distL="114300" distR="114300" simplePos="0" relativeHeight="251659264" behindDoc="0" locked="0" layoutInCell="1" allowOverlap="1" wp14:anchorId="1F1A8E71" wp14:editId="02E31B59">
          <wp:simplePos x="0" y="0"/>
          <wp:positionH relativeFrom="margin">
            <wp:align>right</wp:align>
          </wp:positionH>
          <wp:positionV relativeFrom="paragraph">
            <wp:posOffset>367284</wp:posOffset>
          </wp:positionV>
          <wp:extent cx="1366562" cy="1158240"/>
          <wp:effectExtent l="0" t="0" r="508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62" cy="1158240"/>
                  </a:xfrm>
                  <a:prstGeom prst="rect">
                    <a:avLst/>
                  </a:prstGeom>
                  <a:noFill/>
                </pic:spPr>
              </pic:pic>
            </a:graphicData>
          </a:graphic>
          <wp14:sizeRelH relativeFrom="margin">
            <wp14:pctWidth>0</wp14:pctWidth>
          </wp14:sizeRelH>
          <wp14:sizeRelV relativeFrom="margin">
            <wp14:pctHeight>0</wp14:pctHeight>
          </wp14:sizeRelV>
        </wp:anchor>
      </w:drawing>
    </w:r>
    <w:r w:rsidR="00F0137B">
      <w:rPr>
        <w:noProof/>
        <w:lang w:eastAsia="fr-FR"/>
      </w:rPr>
      <w:drawing>
        <wp:anchor distT="0" distB="0" distL="114300" distR="114300" simplePos="0" relativeHeight="251658240" behindDoc="0" locked="0" layoutInCell="1" allowOverlap="1" wp14:anchorId="07624BA9" wp14:editId="671A341A">
          <wp:simplePos x="0" y="0"/>
          <wp:positionH relativeFrom="column">
            <wp:posOffset>-966470</wp:posOffset>
          </wp:positionH>
          <wp:positionV relativeFrom="page">
            <wp:align>top</wp:align>
          </wp:positionV>
          <wp:extent cx="7560000" cy="2566800"/>
          <wp:effectExtent l="0" t="0" r="3175"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5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FB3"/>
    <w:multiLevelType w:val="hybridMultilevel"/>
    <w:tmpl w:val="65422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E3BC4"/>
    <w:multiLevelType w:val="multilevel"/>
    <w:tmpl w:val="11E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D45B0"/>
    <w:multiLevelType w:val="hybridMultilevel"/>
    <w:tmpl w:val="863AD1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8C19EC"/>
    <w:multiLevelType w:val="hybridMultilevel"/>
    <w:tmpl w:val="4378C38E"/>
    <w:lvl w:ilvl="0" w:tplc="3954C3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D66AE6"/>
    <w:multiLevelType w:val="hybridMultilevel"/>
    <w:tmpl w:val="608AED8E"/>
    <w:lvl w:ilvl="0" w:tplc="7F7EA1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4A78DD"/>
    <w:multiLevelType w:val="hybridMultilevel"/>
    <w:tmpl w:val="FC54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2E1C02"/>
    <w:multiLevelType w:val="hybridMultilevel"/>
    <w:tmpl w:val="5942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BC27B9"/>
    <w:multiLevelType w:val="hybridMultilevel"/>
    <w:tmpl w:val="E770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B"/>
    <w:rsid w:val="0000317D"/>
    <w:rsid w:val="00024A34"/>
    <w:rsid w:val="00026151"/>
    <w:rsid w:val="0005424E"/>
    <w:rsid w:val="000745B8"/>
    <w:rsid w:val="00121946"/>
    <w:rsid w:val="00151FB7"/>
    <w:rsid w:val="001B0878"/>
    <w:rsid w:val="001D5E77"/>
    <w:rsid w:val="001F532C"/>
    <w:rsid w:val="00264C73"/>
    <w:rsid w:val="0029071D"/>
    <w:rsid w:val="002E5F30"/>
    <w:rsid w:val="002F24F7"/>
    <w:rsid w:val="003125B2"/>
    <w:rsid w:val="00355791"/>
    <w:rsid w:val="00390A5F"/>
    <w:rsid w:val="00412F69"/>
    <w:rsid w:val="00471EE3"/>
    <w:rsid w:val="004C2464"/>
    <w:rsid w:val="004C5622"/>
    <w:rsid w:val="004E16F9"/>
    <w:rsid w:val="00512C45"/>
    <w:rsid w:val="00531830"/>
    <w:rsid w:val="005674F4"/>
    <w:rsid w:val="005C4D8A"/>
    <w:rsid w:val="005F63EF"/>
    <w:rsid w:val="006001BB"/>
    <w:rsid w:val="006055CD"/>
    <w:rsid w:val="00606A62"/>
    <w:rsid w:val="00607ACC"/>
    <w:rsid w:val="00653E01"/>
    <w:rsid w:val="006B34C2"/>
    <w:rsid w:val="006D1832"/>
    <w:rsid w:val="00752CA6"/>
    <w:rsid w:val="00897948"/>
    <w:rsid w:val="008E0FDC"/>
    <w:rsid w:val="009466B1"/>
    <w:rsid w:val="00A042D5"/>
    <w:rsid w:val="00A04784"/>
    <w:rsid w:val="00A25B92"/>
    <w:rsid w:val="00AB56A1"/>
    <w:rsid w:val="00B1546A"/>
    <w:rsid w:val="00B40E64"/>
    <w:rsid w:val="00B42221"/>
    <w:rsid w:val="00B456B9"/>
    <w:rsid w:val="00B63FF1"/>
    <w:rsid w:val="00BB2AC9"/>
    <w:rsid w:val="00C34BC4"/>
    <w:rsid w:val="00C521DE"/>
    <w:rsid w:val="00C62D4B"/>
    <w:rsid w:val="00C66905"/>
    <w:rsid w:val="00C73B3C"/>
    <w:rsid w:val="00CC4BA4"/>
    <w:rsid w:val="00CC60E1"/>
    <w:rsid w:val="00CD1C3D"/>
    <w:rsid w:val="00CD215D"/>
    <w:rsid w:val="00D04A5E"/>
    <w:rsid w:val="00D1261B"/>
    <w:rsid w:val="00D649CD"/>
    <w:rsid w:val="00D74A3E"/>
    <w:rsid w:val="00D90843"/>
    <w:rsid w:val="00EA3FB5"/>
    <w:rsid w:val="00EA6246"/>
    <w:rsid w:val="00EB476D"/>
    <w:rsid w:val="00EB77C3"/>
    <w:rsid w:val="00EB79B6"/>
    <w:rsid w:val="00EF71E2"/>
    <w:rsid w:val="00F0137B"/>
    <w:rsid w:val="00F27B07"/>
    <w:rsid w:val="00FC082D"/>
    <w:rsid w:val="00FC4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9F25E"/>
  <w15:docId w15:val="{4FB39382-1C61-448E-9913-8B8FD6E0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B"/>
    <w:rPr>
      <w:rFonts w:ascii="Arial" w:hAnsi="Arial"/>
    </w:rPr>
  </w:style>
  <w:style w:type="paragraph" w:styleId="Titre1">
    <w:name w:val="heading 1"/>
    <w:basedOn w:val="Normal"/>
    <w:next w:val="Normal"/>
    <w:link w:val="Titre1Car"/>
    <w:uiPriority w:val="9"/>
    <w:qFormat/>
    <w:rsid w:val="00F0137B"/>
    <w:pPr>
      <w:keepNext/>
      <w:keepLines/>
      <w:spacing w:before="240" w:after="0"/>
      <w:jc w:val="center"/>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F0137B"/>
    <w:pPr>
      <w:keepNext/>
      <w:keepLines/>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F0137B"/>
    <w:pPr>
      <w:keepNext/>
      <w:keepLines/>
      <w:spacing w:before="40" w:after="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137B"/>
    <w:pPr>
      <w:tabs>
        <w:tab w:val="center" w:pos="4536"/>
        <w:tab w:val="right" w:pos="9072"/>
      </w:tabs>
      <w:spacing w:after="0" w:line="240" w:lineRule="auto"/>
    </w:pPr>
  </w:style>
  <w:style w:type="character" w:customStyle="1" w:styleId="En-tteCar">
    <w:name w:val="En-tête Car"/>
    <w:basedOn w:val="Policepardfaut"/>
    <w:link w:val="En-tte"/>
    <w:uiPriority w:val="99"/>
    <w:rsid w:val="00F0137B"/>
  </w:style>
  <w:style w:type="paragraph" w:styleId="Pieddepage">
    <w:name w:val="footer"/>
    <w:basedOn w:val="Normal"/>
    <w:link w:val="PieddepageCar"/>
    <w:uiPriority w:val="99"/>
    <w:unhideWhenUsed/>
    <w:rsid w:val="00F01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37B"/>
  </w:style>
  <w:style w:type="character" w:customStyle="1" w:styleId="Titre1Car">
    <w:name w:val="Titre 1 Car"/>
    <w:basedOn w:val="Policepardfaut"/>
    <w:link w:val="Titre1"/>
    <w:uiPriority w:val="9"/>
    <w:rsid w:val="00F0137B"/>
    <w:rPr>
      <w:rFonts w:ascii="Arial" w:eastAsiaTheme="majorEastAsia" w:hAnsi="Arial" w:cstheme="majorBidi"/>
      <w:b/>
      <w:color w:val="2E74B5" w:themeColor="accent1" w:themeShade="BF"/>
      <w:sz w:val="32"/>
      <w:szCs w:val="32"/>
    </w:rPr>
  </w:style>
  <w:style w:type="character" w:customStyle="1" w:styleId="Titre2Car">
    <w:name w:val="Titre 2 Car"/>
    <w:basedOn w:val="Policepardfaut"/>
    <w:link w:val="Titre2"/>
    <w:uiPriority w:val="9"/>
    <w:rsid w:val="00F0137B"/>
    <w:rPr>
      <w:rFonts w:ascii="Arial" w:eastAsiaTheme="majorEastAsia" w:hAnsi="Arial" w:cstheme="majorBidi"/>
      <w:b/>
      <w:color w:val="2E74B5" w:themeColor="accent1" w:themeShade="BF"/>
      <w:sz w:val="26"/>
      <w:szCs w:val="26"/>
    </w:rPr>
  </w:style>
  <w:style w:type="character" w:customStyle="1" w:styleId="Titre3Car">
    <w:name w:val="Titre 3 Car"/>
    <w:basedOn w:val="Policepardfaut"/>
    <w:link w:val="Titre3"/>
    <w:uiPriority w:val="9"/>
    <w:rsid w:val="00F0137B"/>
    <w:rPr>
      <w:rFonts w:ascii="Arial" w:eastAsiaTheme="majorEastAsia" w:hAnsi="Arial" w:cstheme="majorBidi"/>
      <w:b/>
      <w:sz w:val="24"/>
      <w:szCs w:val="24"/>
    </w:rPr>
  </w:style>
  <w:style w:type="paragraph" w:styleId="Sous-titre">
    <w:name w:val="Subtitle"/>
    <w:basedOn w:val="Normal"/>
    <w:next w:val="Normal"/>
    <w:link w:val="Sous-titreCar"/>
    <w:uiPriority w:val="11"/>
    <w:qFormat/>
    <w:rsid w:val="00F0137B"/>
    <w:pPr>
      <w:numPr>
        <w:ilvl w:val="1"/>
      </w:numPr>
      <w:jc w:val="center"/>
    </w:pPr>
    <w:rPr>
      <w:rFonts w:eastAsiaTheme="minorEastAsia"/>
      <w:color w:val="2E74B5" w:themeColor="accent1" w:themeShade="BF"/>
      <w:spacing w:val="15"/>
    </w:rPr>
  </w:style>
  <w:style w:type="character" w:customStyle="1" w:styleId="Sous-titreCar">
    <w:name w:val="Sous-titre Car"/>
    <w:basedOn w:val="Policepardfaut"/>
    <w:link w:val="Sous-titre"/>
    <w:uiPriority w:val="11"/>
    <w:rsid w:val="00F0137B"/>
    <w:rPr>
      <w:rFonts w:ascii="Arial" w:eastAsiaTheme="minorEastAsia" w:hAnsi="Arial"/>
      <w:color w:val="2E74B5" w:themeColor="accent1" w:themeShade="BF"/>
      <w:spacing w:val="15"/>
    </w:rPr>
  </w:style>
  <w:style w:type="paragraph" w:styleId="Paragraphedeliste">
    <w:name w:val="List Paragraph"/>
    <w:basedOn w:val="Normal"/>
    <w:uiPriority w:val="34"/>
    <w:qFormat/>
    <w:rsid w:val="00752CA6"/>
    <w:pPr>
      <w:ind w:left="720"/>
      <w:contextualSpacing/>
    </w:pPr>
  </w:style>
  <w:style w:type="paragraph" w:styleId="Textedebulles">
    <w:name w:val="Balloon Text"/>
    <w:basedOn w:val="Normal"/>
    <w:link w:val="TextedebullesCar"/>
    <w:uiPriority w:val="99"/>
    <w:semiHidden/>
    <w:unhideWhenUsed/>
    <w:rsid w:val="00A04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784"/>
    <w:rPr>
      <w:rFonts w:ascii="Tahoma" w:hAnsi="Tahoma" w:cs="Tahoma"/>
      <w:sz w:val="16"/>
      <w:szCs w:val="16"/>
    </w:rPr>
  </w:style>
  <w:style w:type="character" w:styleId="Marquedecommentaire">
    <w:name w:val="annotation reference"/>
    <w:basedOn w:val="Policepardfaut"/>
    <w:uiPriority w:val="99"/>
    <w:semiHidden/>
    <w:unhideWhenUsed/>
    <w:rsid w:val="006001BB"/>
    <w:rPr>
      <w:sz w:val="16"/>
      <w:szCs w:val="16"/>
    </w:rPr>
  </w:style>
  <w:style w:type="paragraph" w:styleId="Commentaire">
    <w:name w:val="annotation text"/>
    <w:basedOn w:val="Normal"/>
    <w:link w:val="CommentaireCar"/>
    <w:uiPriority w:val="99"/>
    <w:semiHidden/>
    <w:unhideWhenUsed/>
    <w:rsid w:val="006001BB"/>
    <w:pPr>
      <w:spacing w:line="240" w:lineRule="auto"/>
    </w:pPr>
    <w:rPr>
      <w:sz w:val="20"/>
      <w:szCs w:val="20"/>
    </w:rPr>
  </w:style>
  <w:style w:type="character" w:customStyle="1" w:styleId="CommentaireCar">
    <w:name w:val="Commentaire Car"/>
    <w:basedOn w:val="Policepardfaut"/>
    <w:link w:val="Commentaire"/>
    <w:uiPriority w:val="99"/>
    <w:semiHidden/>
    <w:rsid w:val="006001B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001BB"/>
    <w:rPr>
      <w:b/>
      <w:bCs/>
    </w:rPr>
  </w:style>
  <w:style w:type="character" w:customStyle="1" w:styleId="ObjetducommentaireCar">
    <w:name w:val="Objet du commentaire Car"/>
    <w:basedOn w:val="CommentaireCar"/>
    <w:link w:val="Objetducommentaire"/>
    <w:uiPriority w:val="99"/>
    <w:semiHidden/>
    <w:rsid w:val="006001BB"/>
    <w:rPr>
      <w:rFonts w:ascii="Arial" w:hAnsi="Arial"/>
      <w:b/>
      <w:bCs/>
      <w:sz w:val="20"/>
      <w:szCs w:val="20"/>
    </w:rPr>
  </w:style>
  <w:style w:type="table" w:styleId="Grilledutableau">
    <w:name w:val="Table Grid"/>
    <w:basedOn w:val="TableauNormal"/>
    <w:uiPriority w:val="59"/>
    <w:rsid w:val="002E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B200-32AB-44B5-A512-53CADB6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2066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FOUQUAT</dc:creator>
  <cp:lastModifiedBy>EMILIE VAN RANTERGHEM</cp:lastModifiedBy>
  <cp:revision>7</cp:revision>
  <cp:lastPrinted>2021-04-28T15:50:00Z</cp:lastPrinted>
  <dcterms:created xsi:type="dcterms:W3CDTF">2021-06-04T09:12:00Z</dcterms:created>
  <dcterms:modified xsi:type="dcterms:W3CDTF">2021-06-04T09:23:00Z</dcterms:modified>
</cp:coreProperties>
</file>