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100" w:type="dxa"/>
        <w:tblCellSpacing w:w="15" w:type="dxa"/>
        <w:tblCellMar>
          <w:top w:w="15" w:type="dxa"/>
          <w:left w:w="15" w:type="dxa"/>
          <w:bottom w:w="15" w:type="dxa"/>
          <w:right w:w="15" w:type="dxa"/>
        </w:tblCellMar>
        <w:tblLook w:val="04A0" w:firstRow="1" w:lastRow="0" w:firstColumn="1" w:lastColumn="0" w:noHBand="0" w:noVBand="1"/>
      </w:tblPr>
      <w:tblGrid>
        <w:gridCol w:w="8100"/>
      </w:tblGrid>
      <w:tr w:rsidR="00971CC2" w:rsidRPr="00971CC2" w:rsidTr="00971CC2">
        <w:trPr>
          <w:tblCellSpacing w:w="15" w:type="dxa"/>
        </w:trPr>
        <w:tc>
          <w:tcPr>
            <w:tcW w:w="0" w:type="auto"/>
            <w:vAlign w:val="center"/>
            <w:hideMark/>
          </w:tcPr>
          <w:p w:rsidR="00971CC2" w:rsidRPr="00971CC2" w:rsidRDefault="00971CC2" w:rsidP="00971CC2">
            <w:pPr>
              <w:spacing w:after="0" w:line="240" w:lineRule="auto"/>
              <w:jc w:val="center"/>
              <w:rPr>
                <w:rFonts w:ascii="Segoe UI" w:eastAsia="Times New Roman" w:hAnsi="Segoe UI" w:cs="Segoe UI"/>
                <w:color w:val="000000"/>
                <w:sz w:val="24"/>
                <w:szCs w:val="24"/>
                <w:lang w:eastAsia="fr-FR"/>
              </w:rPr>
            </w:pPr>
            <w:r w:rsidRPr="00971CC2">
              <w:rPr>
                <w:rFonts w:ascii="Segoe UI" w:eastAsia="Times New Roman" w:hAnsi="Segoe UI" w:cs="Segoe UI"/>
                <w:b/>
                <w:bCs/>
                <w:color w:val="13235A"/>
                <w:sz w:val="24"/>
                <w:szCs w:val="24"/>
                <w:lang w:eastAsia="fr-FR"/>
              </w:rPr>
              <w:t>RETRAITÉS DE L’UNSA</w:t>
            </w:r>
            <w:r w:rsidRPr="00971CC2">
              <w:rPr>
                <w:rFonts w:ascii="Segoe UI" w:eastAsia="Times New Roman" w:hAnsi="Segoe UI" w:cs="Segoe UI"/>
                <w:color w:val="000000"/>
                <w:sz w:val="24"/>
                <w:szCs w:val="24"/>
                <w:lang w:eastAsia="fr-FR"/>
              </w:rPr>
              <w:br/>
            </w:r>
            <w:r w:rsidRPr="00971CC2">
              <w:rPr>
                <w:rFonts w:ascii="Segoe UI" w:eastAsia="Times New Roman" w:hAnsi="Segoe UI" w:cs="Segoe UI"/>
                <w:i/>
                <w:iCs/>
                <w:color w:val="13235A"/>
                <w:sz w:val="24"/>
                <w:szCs w:val="24"/>
                <w:lang w:eastAsia="fr-FR"/>
              </w:rPr>
              <w:t>Info</w:t>
            </w:r>
          </w:p>
        </w:tc>
      </w:tr>
    </w:tbl>
    <w:p w:rsidR="00971CC2" w:rsidRPr="00971CC2" w:rsidRDefault="00971CC2" w:rsidP="00971CC2">
      <w:pPr>
        <w:spacing w:after="0" w:line="240" w:lineRule="auto"/>
        <w:rPr>
          <w:rFonts w:ascii="Times New Roman" w:eastAsia="Times New Roman" w:hAnsi="Times New Roman" w:cs="Times New Roman"/>
          <w:sz w:val="24"/>
          <w:szCs w:val="24"/>
          <w:lang w:eastAsia="fr-FR"/>
        </w:rPr>
      </w:pPr>
      <w:r w:rsidRPr="00971CC2">
        <w:rPr>
          <w:rFonts w:ascii="Times New Roman" w:eastAsia="Times New Roman" w:hAnsi="Times New Roman" w:cs="Times New Roman"/>
          <w:sz w:val="24"/>
          <w:szCs w:val="24"/>
          <w:lang w:eastAsia="fr-FR"/>
        </w:rPr>
        <w:pict>
          <v:rect id="_x0000_i1025" style="width:0;height:.75pt" o:hralign="center" o:hrstd="t" o:hrnoshade="t" o:hr="t" fillcolor="black" stroked="f"/>
        </w:pict>
      </w:r>
    </w:p>
    <w:p w:rsidR="00971CC2" w:rsidRPr="00971CC2" w:rsidRDefault="00971CC2" w:rsidP="00971CC2">
      <w:pPr>
        <w:spacing w:before="150" w:after="150" w:line="240" w:lineRule="auto"/>
        <w:jc w:val="center"/>
        <w:rPr>
          <w:rFonts w:ascii="Segoe UI" w:eastAsia="Times New Roman" w:hAnsi="Segoe UI" w:cs="Segoe UI"/>
          <w:b/>
          <w:bCs/>
          <w:color w:val="13235A"/>
          <w:sz w:val="36"/>
          <w:szCs w:val="36"/>
          <w:lang w:eastAsia="fr-FR"/>
        </w:rPr>
      </w:pPr>
      <w:r w:rsidRPr="00971CC2">
        <w:rPr>
          <w:rFonts w:ascii="Segoe UI" w:eastAsia="Times New Roman" w:hAnsi="Segoe UI" w:cs="Segoe UI"/>
          <w:b/>
          <w:bCs/>
          <w:color w:val="13235A"/>
          <w:sz w:val="36"/>
          <w:szCs w:val="36"/>
          <w:lang w:eastAsia="fr-FR"/>
        </w:rPr>
        <w:t>N° 89 Août 2022</w:t>
      </w:r>
    </w:p>
    <w:p w:rsidR="00971CC2" w:rsidRPr="00971CC2" w:rsidRDefault="00971CC2" w:rsidP="00971CC2">
      <w:pPr>
        <w:spacing w:before="100" w:beforeAutospacing="1" w:after="100" w:afterAutospacing="1" w:line="240" w:lineRule="auto"/>
        <w:rPr>
          <w:rFonts w:ascii="Segoe UI" w:eastAsia="Times New Roman" w:hAnsi="Segoe UI" w:cs="Segoe UI"/>
          <w:color w:val="13235A"/>
          <w:sz w:val="24"/>
          <w:szCs w:val="24"/>
          <w:lang w:eastAsia="fr-FR"/>
        </w:rPr>
      </w:pPr>
      <w:r w:rsidRPr="00971CC2">
        <w:rPr>
          <w:rFonts w:ascii="Segoe UI" w:eastAsia="Times New Roman" w:hAnsi="Segoe UI" w:cs="Segoe UI"/>
          <w:color w:val="13235A"/>
          <w:sz w:val="24"/>
          <w:szCs w:val="24"/>
          <w:lang w:eastAsia="fr-FR"/>
        </w:rPr>
        <w:t>Dans notre infolettre N° 89 : Plein phare sur le congrès de l’UNSA Retraités, les bouleversements liés aux crises sanitaire et climatique, l’évolution des pensions de bases et des régimes alignés, les retraites complémentaires : pas d’évolution en juillet, le droit de visite et d’hébergement des grands-parents.</w:t>
      </w:r>
    </w:p>
    <w:p w:rsidR="00971CC2" w:rsidRPr="00971CC2" w:rsidRDefault="00971CC2" w:rsidP="00971CC2">
      <w:pPr>
        <w:spacing w:after="0" w:line="240" w:lineRule="auto"/>
        <w:rPr>
          <w:rFonts w:ascii="Times New Roman" w:eastAsia="Times New Roman" w:hAnsi="Times New Roman" w:cs="Times New Roman"/>
          <w:sz w:val="24"/>
          <w:szCs w:val="24"/>
          <w:lang w:eastAsia="fr-FR"/>
        </w:rPr>
      </w:pPr>
      <w:r w:rsidRPr="00971CC2">
        <w:rPr>
          <w:rFonts w:ascii="Times New Roman" w:eastAsia="Times New Roman" w:hAnsi="Times New Roman" w:cs="Times New Roman"/>
          <w:sz w:val="24"/>
          <w:szCs w:val="24"/>
          <w:lang w:eastAsia="fr-FR"/>
        </w:rPr>
        <w:pict>
          <v:rect id="_x0000_i1026" style="width:0;height:.75pt" o:hralign="center" o:hrstd="t" o:hrnoshade="t" o:hr="t" fillcolor="black" stroked="f"/>
        </w:pict>
      </w:r>
    </w:p>
    <w:p w:rsidR="00971CC2" w:rsidRPr="00971CC2" w:rsidRDefault="00971CC2" w:rsidP="00971CC2">
      <w:pPr>
        <w:spacing w:after="150" w:line="315" w:lineRule="atLeast"/>
        <w:rPr>
          <w:rFonts w:ascii="Segoe UI" w:eastAsia="Times New Roman" w:hAnsi="Segoe UI" w:cs="Segoe UI"/>
          <w:b/>
          <w:bCs/>
          <w:color w:val="13235A"/>
          <w:sz w:val="32"/>
          <w:szCs w:val="32"/>
          <w:lang w:eastAsia="fr-FR"/>
        </w:rPr>
      </w:pPr>
      <w:r w:rsidRPr="00971CC2">
        <w:rPr>
          <w:rFonts w:ascii="Segoe UI" w:eastAsia="Times New Roman" w:hAnsi="Segoe UI" w:cs="Segoe UI"/>
          <w:b/>
          <w:bCs/>
          <w:i/>
          <w:iCs/>
          <w:color w:val="FFFFFF"/>
          <w:sz w:val="32"/>
          <w:szCs w:val="32"/>
          <w:shd w:val="clear" w:color="auto" w:fill="00A9E0"/>
          <w:lang w:eastAsia="fr-FR"/>
        </w:rPr>
        <w:t>Édito</w:t>
      </w:r>
      <w:r w:rsidRPr="00971CC2">
        <w:rPr>
          <w:rFonts w:ascii="Segoe UI" w:eastAsia="Times New Roman" w:hAnsi="Segoe UI" w:cs="Segoe UI"/>
          <w:b/>
          <w:bCs/>
          <w:color w:val="13235A"/>
          <w:sz w:val="32"/>
          <w:szCs w:val="32"/>
          <w:lang w:eastAsia="fr-FR"/>
        </w:rPr>
        <w:br/>
      </w:r>
      <w:r w:rsidRPr="00971CC2">
        <w:rPr>
          <w:rFonts w:ascii="Segoe UI" w:eastAsia="Times New Roman" w:hAnsi="Segoe UI" w:cs="Segoe UI"/>
          <w:b/>
          <w:bCs/>
          <w:color w:val="13235A"/>
          <w:sz w:val="32"/>
          <w:szCs w:val="32"/>
          <w:lang w:eastAsia="fr-FR"/>
        </w:rPr>
        <w:br/>
        <w:t>PLEIN PHARE SUR LE CONGRÈS</w:t>
      </w:r>
    </w:p>
    <w:p w:rsidR="00971CC2" w:rsidRPr="00971CC2" w:rsidRDefault="00971CC2" w:rsidP="00971CC2">
      <w:pPr>
        <w:spacing w:before="100" w:beforeAutospacing="1" w:after="100" w:afterAutospacing="1" w:line="315" w:lineRule="atLeast"/>
        <w:rPr>
          <w:rFonts w:ascii="Segoe UI" w:eastAsia="Times New Roman" w:hAnsi="Segoe UI" w:cs="Segoe UI"/>
          <w:color w:val="505050"/>
          <w:sz w:val="21"/>
          <w:szCs w:val="21"/>
          <w:lang w:eastAsia="fr-FR"/>
        </w:rPr>
      </w:pPr>
      <w:r w:rsidRPr="00971CC2">
        <w:rPr>
          <w:rFonts w:ascii="Segoe UI" w:eastAsia="Times New Roman" w:hAnsi="Segoe UI" w:cs="Segoe UI"/>
          <w:color w:val="505050"/>
          <w:sz w:val="21"/>
          <w:szCs w:val="21"/>
          <w:lang w:eastAsia="fr-FR"/>
        </w:rPr>
        <w:t>L’UNSA Retraités tiendra son congrès les 24 et 25 janvier 2023 à Paris</w:t>
      </w:r>
      <w:r w:rsidRPr="00971CC2">
        <w:rPr>
          <w:rFonts w:ascii="Segoe UI" w:eastAsia="Times New Roman" w:hAnsi="Segoe UI" w:cs="Segoe UI"/>
          <w:color w:val="505050"/>
          <w:sz w:val="21"/>
          <w:szCs w:val="21"/>
          <w:lang w:eastAsia="fr-FR"/>
        </w:rPr>
        <w:br/>
        <w:t>Le chemin préparatoire au congrès de l’UNSA Retraités, fixé aux 24 et 25 janvier 2023, est maintenant ouvert. Les travaux devront s’articuler autour de sept axes qui ont été arrêtés par le Bureau National du 8 juin 2022. Le canevas devant servir de base (...)</w:t>
      </w:r>
    </w:p>
    <w:p w:rsidR="00971CC2" w:rsidRPr="00971CC2" w:rsidRDefault="00971CC2" w:rsidP="00971CC2">
      <w:pPr>
        <w:spacing w:after="0" w:line="315" w:lineRule="atLeast"/>
        <w:rPr>
          <w:rFonts w:ascii="Segoe UI" w:eastAsia="Times New Roman" w:hAnsi="Segoe UI" w:cs="Segoe UI"/>
          <w:color w:val="505050"/>
          <w:sz w:val="21"/>
          <w:szCs w:val="21"/>
          <w:lang w:eastAsia="fr-FR"/>
        </w:rPr>
      </w:pPr>
      <w:hyperlink r:id="rId5" w:tgtFrame="_blank" w:history="1">
        <w:r w:rsidRPr="00971CC2">
          <w:rPr>
            <w:rFonts w:ascii="Segoe UI" w:eastAsia="Times New Roman" w:hAnsi="Segoe UI" w:cs="Segoe UI"/>
            <w:color w:val="1155CC"/>
            <w:sz w:val="21"/>
            <w:szCs w:val="21"/>
            <w:u w:val="single"/>
            <w:lang w:eastAsia="fr-FR"/>
          </w:rPr>
          <w:t>Lire en ligne : </w:t>
        </w:r>
        <w:r w:rsidRPr="00971CC2">
          <w:rPr>
            <w:rFonts w:ascii="Segoe UI" w:eastAsia="Times New Roman" w:hAnsi="Segoe UI" w:cs="Segoe UI"/>
            <w:b/>
            <w:bCs/>
            <w:color w:val="1155CC"/>
            <w:sz w:val="21"/>
            <w:szCs w:val="21"/>
            <w:u w:val="single"/>
            <w:lang w:eastAsia="fr-FR"/>
          </w:rPr>
          <w:t>PLEIN PHARE SUR LE CONGRÈS</w:t>
        </w:r>
      </w:hyperlink>
    </w:p>
    <w:p w:rsidR="00971CC2" w:rsidRPr="00971CC2" w:rsidRDefault="00971CC2" w:rsidP="00971CC2">
      <w:pPr>
        <w:spacing w:after="0" w:line="240" w:lineRule="auto"/>
        <w:rPr>
          <w:rFonts w:ascii="Times New Roman" w:eastAsia="Times New Roman" w:hAnsi="Times New Roman" w:cs="Times New Roman"/>
          <w:sz w:val="24"/>
          <w:szCs w:val="24"/>
          <w:lang w:eastAsia="fr-FR"/>
        </w:rPr>
      </w:pPr>
      <w:r w:rsidRPr="00971CC2">
        <w:rPr>
          <w:rFonts w:ascii="Times New Roman" w:eastAsia="Times New Roman" w:hAnsi="Times New Roman" w:cs="Times New Roman"/>
          <w:sz w:val="24"/>
          <w:szCs w:val="24"/>
          <w:lang w:eastAsia="fr-FR"/>
        </w:rPr>
        <w:pict>
          <v:rect id="_x0000_i1027" style="width:0;height:.75pt" o:hralign="center" o:hrstd="t" o:hrnoshade="t" o:hr="t" fillcolor="black" stroked="f"/>
        </w:pict>
      </w:r>
    </w:p>
    <w:p w:rsidR="00971CC2" w:rsidRPr="00971CC2" w:rsidRDefault="00971CC2" w:rsidP="00971CC2">
      <w:pPr>
        <w:spacing w:after="150" w:line="315" w:lineRule="atLeast"/>
        <w:rPr>
          <w:rFonts w:ascii="Segoe UI" w:eastAsia="Times New Roman" w:hAnsi="Segoe UI" w:cs="Segoe UI"/>
          <w:b/>
          <w:bCs/>
          <w:color w:val="13235A"/>
          <w:sz w:val="32"/>
          <w:szCs w:val="32"/>
          <w:lang w:eastAsia="fr-FR"/>
        </w:rPr>
      </w:pPr>
      <w:r w:rsidRPr="00971CC2">
        <w:rPr>
          <w:rFonts w:ascii="Segoe UI" w:eastAsia="Times New Roman" w:hAnsi="Segoe UI" w:cs="Segoe UI"/>
          <w:b/>
          <w:bCs/>
          <w:i/>
          <w:iCs/>
          <w:color w:val="FFFFFF"/>
          <w:sz w:val="32"/>
          <w:szCs w:val="32"/>
          <w:shd w:val="clear" w:color="auto" w:fill="00A9E0"/>
          <w:lang w:eastAsia="fr-FR"/>
        </w:rPr>
        <w:t>Société</w:t>
      </w:r>
      <w:r w:rsidRPr="00971CC2">
        <w:rPr>
          <w:rFonts w:ascii="Segoe UI" w:eastAsia="Times New Roman" w:hAnsi="Segoe UI" w:cs="Segoe UI"/>
          <w:b/>
          <w:bCs/>
          <w:color w:val="13235A"/>
          <w:sz w:val="32"/>
          <w:szCs w:val="32"/>
          <w:lang w:eastAsia="fr-FR"/>
        </w:rPr>
        <w:br/>
      </w:r>
      <w:r w:rsidRPr="00971CC2">
        <w:rPr>
          <w:rFonts w:ascii="Segoe UI" w:eastAsia="Times New Roman" w:hAnsi="Segoe UI" w:cs="Segoe UI"/>
          <w:b/>
          <w:bCs/>
          <w:color w:val="13235A"/>
          <w:sz w:val="32"/>
          <w:szCs w:val="32"/>
          <w:lang w:eastAsia="fr-FR"/>
        </w:rPr>
        <w:br/>
        <w:t>L’ère des bouleversements</w:t>
      </w:r>
    </w:p>
    <w:p w:rsidR="00971CC2" w:rsidRPr="00971CC2" w:rsidRDefault="00971CC2" w:rsidP="00971CC2">
      <w:pPr>
        <w:spacing w:before="100" w:beforeAutospacing="1" w:after="100" w:afterAutospacing="1" w:line="315" w:lineRule="atLeast"/>
        <w:rPr>
          <w:rFonts w:ascii="Segoe UI" w:eastAsia="Times New Roman" w:hAnsi="Segoe UI" w:cs="Segoe UI"/>
          <w:color w:val="505050"/>
          <w:sz w:val="21"/>
          <w:szCs w:val="21"/>
          <w:lang w:eastAsia="fr-FR"/>
        </w:rPr>
      </w:pPr>
      <w:r w:rsidRPr="00971CC2">
        <w:rPr>
          <w:rFonts w:ascii="Segoe UI" w:eastAsia="Times New Roman" w:hAnsi="Segoe UI" w:cs="Segoe UI"/>
          <w:color w:val="505050"/>
          <w:sz w:val="21"/>
          <w:szCs w:val="21"/>
          <w:lang w:eastAsia="fr-FR"/>
        </w:rPr>
        <w:t>Santé, écologie, géopolitique, économie et social, politique,... de nombreux bouleversements traversent le monde actuellement, ébranlent les vies quotidiennes et aggravent la situation de millions d’humains. Dans ce contexte, le syndicalisme essaie, avec humilité et des moyens limités, d’accompagner et de soutenir les (...)</w:t>
      </w:r>
    </w:p>
    <w:p w:rsidR="00971CC2" w:rsidRPr="00971CC2" w:rsidRDefault="00971CC2" w:rsidP="00971CC2">
      <w:pPr>
        <w:spacing w:after="0" w:line="315" w:lineRule="atLeast"/>
        <w:rPr>
          <w:rFonts w:ascii="Segoe UI" w:eastAsia="Times New Roman" w:hAnsi="Segoe UI" w:cs="Segoe UI"/>
          <w:color w:val="505050"/>
          <w:sz w:val="21"/>
          <w:szCs w:val="21"/>
          <w:lang w:eastAsia="fr-FR"/>
        </w:rPr>
      </w:pPr>
      <w:hyperlink r:id="rId6" w:tgtFrame="_blank" w:history="1">
        <w:r w:rsidRPr="00971CC2">
          <w:rPr>
            <w:rFonts w:ascii="Segoe UI" w:eastAsia="Times New Roman" w:hAnsi="Segoe UI" w:cs="Segoe UI"/>
            <w:color w:val="1155CC"/>
            <w:sz w:val="21"/>
            <w:szCs w:val="21"/>
            <w:u w:val="single"/>
            <w:lang w:eastAsia="fr-FR"/>
          </w:rPr>
          <w:t>Lire en ligne : </w:t>
        </w:r>
        <w:r w:rsidRPr="00971CC2">
          <w:rPr>
            <w:rFonts w:ascii="Segoe UI" w:eastAsia="Times New Roman" w:hAnsi="Segoe UI" w:cs="Segoe UI"/>
            <w:b/>
            <w:bCs/>
            <w:color w:val="1155CC"/>
            <w:sz w:val="21"/>
            <w:szCs w:val="21"/>
            <w:u w:val="single"/>
            <w:lang w:eastAsia="fr-FR"/>
          </w:rPr>
          <w:t>L’ère des bouleversements</w:t>
        </w:r>
      </w:hyperlink>
    </w:p>
    <w:p w:rsidR="00971CC2" w:rsidRPr="00971CC2" w:rsidRDefault="00971CC2" w:rsidP="00971CC2">
      <w:pPr>
        <w:spacing w:after="0" w:line="240" w:lineRule="auto"/>
        <w:rPr>
          <w:rFonts w:ascii="Times New Roman" w:eastAsia="Times New Roman" w:hAnsi="Times New Roman" w:cs="Times New Roman"/>
          <w:sz w:val="24"/>
          <w:szCs w:val="24"/>
          <w:lang w:eastAsia="fr-FR"/>
        </w:rPr>
      </w:pPr>
      <w:r w:rsidRPr="00971CC2">
        <w:rPr>
          <w:rFonts w:ascii="Times New Roman" w:eastAsia="Times New Roman" w:hAnsi="Times New Roman" w:cs="Times New Roman"/>
          <w:sz w:val="24"/>
          <w:szCs w:val="24"/>
          <w:lang w:eastAsia="fr-FR"/>
        </w:rPr>
        <w:pict>
          <v:rect id="_x0000_i1028" style="width:0;height:.75pt" o:hralign="center" o:hrstd="t" o:hrnoshade="t" o:hr="t" fillcolor="black" stroked="f"/>
        </w:pict>
      </w:r>
    </w:p>
    <w:p w:rsidR="00971CC2" w:rsidRPr="00971CC2" w:rsidRDefault="00971CC2" w:rsidP="00971CC2">
      <w:pPr>
        <w:spacing w:after="150" w:line="315" w:lineRule="atLeast"/>
        <w:rPr>
          <w:rFonts w:ascii="Segoe UI" w:eastAsia="Times New Roman" w:hAnsi="Segoe UI" w:cs="Segoe UI"/>
          <w:b/>
          <w:bCs/>
          <w:color w:val="13235A"/>
          <w:sz w:val="32"/>
          <w:szCs w:val="32"/>
          <w:lang w:eastAsia="fr-FR"/>
        </w:rPr>
      </w:pPr>
      <w:r w:rsidRPr="00971CC2">
        <w:rPr>
          <w:rFonts w:ascii="Segoe UI" w:eastAsia="Times New Roman" w:hAnsi="Segoe UI" w:cs="Segoe UI"/>
          <w:b/>
          <w:bCs/>
          <w:i/>
          <w:iCs/>
          <w:color w:val="FFFFFF"/>
          <w:sz w:val="32"/>
          <w:szCs w:val="32"/>
          <w:shd w:val="clear" w:color="auto" w:fill="00A9E0"/>
          <w:lang w:eastAsia="fr-FR"/>
        </w:rPr>
        <w:t>Pouvoir d’achat</w:t>
      </w:r>
      <w:r w:rsidRPr="00971CC2">
        <w:rPr>
          <w:rFonts w:ascii="Segoe UI" w:eastAsia="Times New Roman" w:hAnsi="Segoe UI" w:cs="Segoe UI"/>
          <w:b/>
          <w:bCs/>
          <w:color w:val="13235A"/>
          <w:sz w:val="32"/>
          <w:szCs w:val="32"/>
          <w:lang w:eastAsia="fr-FR"/>
        </w:rPr>
        <w:br/>
      </w:r>
      <w:r w:rsidRPr="00971CC2">
        <w:rPr>
          <w:rFonts w:ascii="Segoe UI" w:eastAsia="Times New Roman" w:hAnsi="Segoe UI" w:cs="Segoe UI"/>
          <w:b/>
          <w:bCs/>
          <w:color w:val="13235A"/>
          <w:sz w:val="32"/>
          <w:szCs w:val="32"/>
          <w:lang w:eastAsia="fr-FR"/>
        </w:rPr>
        <w:br/>
        <w:t>Évolution des pensions de base et des régimes alignés : le compte n’y est pas</w:t>
      </w:r>
      <w:r w:rsidRPr="00971CC2">
        <w:rPr>
          <w:rFonts w:ascii="Segoe UI" w:eastAsia="Times New Roman" w:hAnsi="Segoe UI" w:cs="Segoe UI"/>
          <w:b/>
          <w:bCs/>
          <w:color w:val="13235A"/>
          <w:sz w:val="27"/>
          <w:szCs w:val="27"/>
          <w:lang w:eastAsia="fr-FR"/>
        </w:rPr>
        <w:t> </w:t>
      </w:r>
      <w:r w:rsidRPr="00971CC2">
        <w:rPr>
          <w:rFonts w:ascii="Segoe UI" w:eastAsia="Times New Roman" w:hAnsi="Segoe UI" w:cs="Segoe UI"/>
          <w:b/>
          <w:bCs/>
          <w:color w:val="13235A"/>
          <w:sz w:val="32"/>
          <w:szCs w:val="32"/>
          <w:lang w:eastAsia="fr-FR"/>
        </w:rPr>
        <w:t>!</w:t>
      </w:r>
    </w:p>
    <w:p w:rsidR="00971CC2" w:rsidRPr="00971CC2" w:rsidRDefault="00971CC2" w:rsidP="00971CC2">
      <w:pPr>
        <w:spacing w:before="100" w:beforeAutospacing="1" w:after="100" w:afterAutospacing="1" w:line="315" w:lineRule="atLeast"/>
        <w:rPr>
          <w:rFonts w:ascii="Segoe UI" w:eastAsia="Times New Roman" w:hAnsi="Segoe UI" w:cs="Segoe UI"/>
          <w:color w:val="505050"/>
          <w:sz w:val="21"/>
          <w:szCs w:val="21"/>
          <w:lang w:eastAsia="fr-FR"/>
        </w:rPr>
      </w:pPr>
      <w:r w:rsidRPr="00971CC2">
        <w:rPr>
          <w:rFonts w:ascii="Segoe UI" w:eastAsia="Times New Roman" w:hAnsi="Segoe UI" w:cs="Segoe UI"/>
          <w:color w:val="505050"/>
          <w:sz w:val="21"/>
          <w:szCs w:val="21"/>
          <w:lang w:eastAsia="fr-FR"/>
        </w:rPr>
        <w:t>Avec 4% de revalorisation au 1</w:t>
      </w:r>
      <w:r w:rsidRPr="00971CC2">
        <w:rPr>
          <w:rFonts w:ascii="Segoe UI" w:eastAsia="Times New Roman" w:hAnsi="Segoe UI" w:cs="Segoe UI"/>
          <w:color w:val="505050"/>
          <w:sz w:val="21"/>
          <w:szCs w:val="21"/>
          <w:vertAlign w:val="superscript"/>
          <w:lang w:eastAsia="fr-FR"/>
        </w:rPr>
        <w:t>er</w:t>
      </w:r>
      <w:r w:rsidRPr="00971CC2">
        <w:rPr>
          <w:rFonts w:ascii="Segoe UI" w:eastAsia="Times New Roman" w:hAnsi="Segoe UI" w:cs="Segoe UI"/>
          <w:color w:val="505050"/>
          <w:sz w:val="21"/>
          <w:szCs w:val="21"/>
          <w:lang w:eastAsia="fr-FR"/>
        </w:rPr>
        <w:t xml:space="preserve"> juillet, les pensions de base et des régimes alignés accusent encore un retard par rapport à l’évolution de l’indice des prix. Sans compter les pertes cumulées </w:t>
      </w:r>
      <w:r w:rsidRPr="00971CC2">
        <w:rPr>
          <w:rFonts w:ascii="Segoe UI" w:eastAsia="Times New Roman" w:hAnsi="Segoe UI" w:cs="Segoe UI"/>
          <w:color w:val="505050"/>
          <w:sz w:val="21"/>
          <w:szCs w:val="21"/>
          <w:lang w:eastAsia="fr-FR"/>
        </w:rPr>
        <w:lastRenderedPageBreak/>
        <w:t>les années précédentes. Pour les retraités, malgré les mesures de la loi «</w:t>
      </w:r>
      <w:r w:rsidRPr="00971CC2">
        <w:rPr>
          <w:rFonts w:ascii="Segoe UI" w:eastAsia="Times New Roman" w:hAnsi="Segoe UI" w:cs="Segoe UI"/>
          <w:color w:val="505050"/>
          <w:sz w:val="15"/>
          <w:szCs w:val="15"/>
          <w:lang w:eastAsia="fr-FR"/>
        </w:rPr>
        <w:t> </w:t>
      </w:r>
      <w:r w:rsidRPr="00971CC2">
        <w:rPr>
          <w:rFonts w:ascii="Segoe UI" w:eastAsia="Times New Roman" w:hAnsi="Segoe UI" w:cs="Segoe UI"/>
          <w:color w:val="505050"/>
          <w:sz w:val="21"/>
          <w:szCs w:val="21"/>
          <w:lang w:eastAsia="fr-FR"/>
        </w:rPr>
        <w:t>Pouvoir d’achat</w:t>
      </w:r>
      <w:r w:rsidRPr="00971CC2">
        <w:rPr>
          <w:rFonts w:ascii="Segoe UI" w:eastAsia="Times New Roman" w:hAnsi="Segoe UI" w:cs="Segoe UI"/>
          <w:color w:val="505050"/>
          <w:sz w:val="15"/>
          <w:szCs w:val="15"/>
          <w:lang w:eastAsia="fr-FR"/>
        </w:rPr>
        <w:t> </w:t>
      </w:r>
      <w:r w:rsidRPr="00971CC2">
        <w:rPr>
          <w:rFonts w:ascii="Segoe UI" w:eastAsia="Times New Roman" w:hAnsi="Segoe UI" w:cs="Segoe UI"/>
          <w:color w:val="505050"/>
          <w:sz w:val="21"/>
          <w:szCs w:val="21"/>
          <w:lang w:eastAsia="fr-FR"/>
        </w:rPr>
        <w:t>» le compte n’y est pas. Explications</w:t>
      </w:r>
      <w:r w:rsidRPr="00971CC2">
        <w:rPr>
          <w:rFonts w:ascii="Segoe UI" w:eastAsia="Times New Roman" w:hAnsi="Segoe UI" w:cs="Segoe UI"/>
          <w:color w:val="505050"/>
          <w:sz w:val="15"/>
          <w:szCs w:val="15"/>
          <w:lang w:eastAsia="fr-FR"/>
        </w:rPr>
        <w:t> </w:t>
      </w:r>
      <w:r w:rsidRPr="00971CC2">
        <w:rPr>
          <w:rFonts w:ascii="Segoe UI" w:eastAsia="Times New Roman" w:hAnsi="Segoe UI" w:cs="Segoe UI"/>
          <w:color w:val="505050"/>
          <w:sz w:val="21"/>
          <w:szCs w:val="21"/>
          <w:lang w:eastAsia="fr-FR"/>
        </w:rPr>
        <w:t>! (...)</w:t>
      </w:r>
    </w:p>
    <w:p w:rsidR="00971CC2" w:rsidRPr="00971CC2" w:rsidRDefault="00971CC2" w:rsidP="00971CC2">
      <w:pPr>
        <w:spacing w:after="0" w:line="315" w:lineRule="atLeast"/>
        <w:rPr>
          <w:rFonts w:ascii="Segoe UI" w:eastAsia="Times New Roman" w:hAnsi="Segoe UI" w:cs="Segoe UI"/>
          <w:color w:val="505050"/>
          <w:sz w:val="21"/>
          <w:szCs w:val="21"/>
          <w:lang w:eastAsia="fr-FR"/>
        </w:rPr>
      </w:pPr>
      <w:hyperlink r:id="rId7" w:tgtFrame="_blank" w:history="1">
        <w:r w:rsidRPr="00971CC2">
          <w:rPr>
            <w:rFonts w:ascii="Segoe UI" w:eastAsia="Times New Roman" w:hAnsi="Segoe UI" w:cs="Segoe UI"/>
            <w:color w:val="1155CC"/>
            <w:sz w:val="21"/>
            <w:szCs w:val="21"/>
            <w:u w:val="single"/>
            <w:lang w:eastAsia="fr-FR"/>
          </w:rPr>
          <w:t>Lire en ligne : </w:t>
        </w:r>
        <w:r w:rsidRPr="00971CC2">
          <w:rPr>
            <w:rFonts w:ascii="Segoe UI" w:eastAsia="Times New Roman" w:hAnsi="Segoe UI" w:cs="Segoe UI"/>
            <w:b/>
            <w:bCs/>
            <w:color w:val="1155CC"/>
            <w:sz w:val="21"/>
            <w:szCs w:val="21"/>
            <w:u w:val="single"/>
            <w:lang w:eastAsia="fr-FR"/>
          </w:rPr>
          <w:t>Évolution des pensions de base et des régimes alignés : le compte n’y est pas</w:t>
        </w:r>
        <w:r w:rsidRPr="00971CC2">
          <w:rPr>
            <w:rFonts w:ascii="Segoe UI" w:eastAsia="Times New Roman" w:hAnsi="Segoe UI" w:cs="Segoe UI"/>
            <w:b/>
            <w:bCs/>
            <w:color w:val="1155CC"/>
            <w:sz w:val="15"/>
            <w:szCs w:val="15"/>
            <w:u w:val="single"/>
            <w:lang w:eastAsia="fr-FR"/>
          </w:rPr>
          <w:t> </w:t>
        </w:r>
        <w:r w:rsidRPr="00971CC2">
          <w:rPr>
            <w:rFonts w:ascii="Segoe UI" w:eastAsia="Times New Roman" w:hAnsi="Segoe UI" w:cs="Segoe UI"/>
            <w:b/>
            <w:bCs/>
            <w:color w:val="1155CC"/>
            <w:sz w:val="21"/>
            <w:szCs w:val="21"/>
            <w:u w:val="single"/>
            <w:lang w:eastAsia="fr-FR"/>
          </w:rPr>
          <w:t>!</w:t>
        </w:r>
      </w:hyperlink>
    </w:p>
    <w:p w:rsidR="00971CC2" w:rsidRPr="00971CC2" w:rsidRDefault="00971CC2" w:rsidP="00971CC2">
      <w:pPr>
        <w:spacing w:after="0" w:line="240" w:lineRule="auto"/>
        <w:rPr>
          <w:rFonts w:ascii="Times New Roman" w:eastAsia="Times New Roman" w:hAnsi="Times New Roman" w:cs="Times New Roman"/>
          <w:sz w:val="24"/>
          <w:szCs w:val="24"/>
          <w:lang w:eastAsia="fr-FR"/>
        </w:rPr>
      </w:pPr>
      <w:r w:rsidRPr="00971CC2">
        <w:rPr>
          <w:rFonts w:ascii="Times New Roman" w:eastAsia="Times New Roman" w:hAnsi="Times New Roman" w:cs="Times New Roman"/>
          <w:sz w:val="24"/>
          <w:szCs w:val="24"/>
          <w:lang w:eastAsia="fr-FR"/>
        </w:rPr>
        <w:pict>
          <v:rect id="_x0000_i1029" style="width:0;height:.75pt" o:hralign="center" o:hrstd="t" o:hrnoshade="t" o:hr="t" fillcolor="black" stroked="f"/>
        </w:pict>
      </w:r>
    </w:p>
    <w:p w:rsidR="00971CC2" w:rsidRPr="00971CC2" w:rsidRDefault="00971CC2" w:rsidP="00971CC2">
      <w:pPr>
        <w:spacing w:after="150" w:line="315" w:lineRule="atLeast"/>
        <w:rPr>
          <w:rFonts w:ascii="Segoe UI" w:eastAsia="Times New Roman" w:hAnsi="Segoe UI" w:cs="Segoe UI"/>
          <w:b/>
          <w:bCs/>
          <w:color w:val="13235A"/>
          <w:sz w:val="32"/>
          <w:szCs w:val="32"/>
          <w:lang w:eastAsia="fr-FR"/>
        </w:rPr>
      </w:pPr>
      <w:r w:rsidRPr="00971CC2">
        <w:rPr>
          <w:rFonts w:ascii="Segoe UI" w:eastAsia="Times New Roman" w:hAnsi="Segoe UI" w:cs="Segoe UI"/>
          <w:b/>
          <w:bCs/>
          <w:i/>
          <w:iCs/>
          <w:color w:val="FFFFFF"/>
          <w:sz w:val="32"/>
          <w:szCs w:val="32"/>
          <w:shd w:val="clear" w:color="auto" w:fill="00A9E0"/>
          <w:lang w:eastAsia="fr-FR"/>
        </w:rPr>
        <w:t>Pouvoir d’achat</w:t>
      </w:r>
      <w:r w:rsidRPr="00971CC2">
        <w:rPr>
          <w:rFonts w:ascii="Segoe UI" w:eastAsia="Times New Roman" w:hAnsi="Segoe UI" w:cs="Segoe UI"/>
          <w:b/>
          <w:bCs/>
          <w:color w:val="13235A"/>
          <w:sz w:val="32"/>
          <w:szCs w:val="32"/>
          <w:lang w:eastAsia="fr-FR"/>
        </w:rPr>
        <w:br/>
      </w:r>
      <w:r w:rsidRPr="00971CC2">
        <w:rPr>
          <w:rFonts w:ascii="Segoe UI" w:eastAsia="Times New Roman" w:hAnsi="Segoe UI" w:cs="Segoe UI"/>
          <w:b/>
          <w:bCs/>
          <w:color w:val="13235A"/>
          <w:sz w:val="32"/>
          <w:szCs w:val="32"/>
          <w:lang w:eastAsia="fr-FR"/>
        </w:rPr>
        <w:br/>
        <w:t>Retraites complémentaires : aucune évolution en juillet.</w:t>
      </w:r>
    </w:p>
    <w:p w:rsidR="00971CC2" w:rsidRPr="00971CC2" w:rsidRDefault="00971CC2" w:rsidP="00971CC2">
      <w:pPr>
        <w:spacing w:before="100" w:beforeAutospacing="1" w:after="100" w:afterAutospacing="1" w:line="315" w:lineRule="atLeast"/>
        <w:rPr>
          <w:rFonts w:ascii="Segoe UI" w:eastAsia="Times New Roman" w:hAnsi="Segoe UI" w:cs="Segoe UI"/>
          <w:color w:val="505050"/>
          <w:sz w:val="21"/>
          <w:szCs w:val="21"/>
          <w:lang w:eastAsia="fr-FR"/>
        </w:rPr>
      </w:pPr>
      <w:r w:rsidRPr="00971CC2">
        <w:rPr>
          <w:rFonts w:ascii="Segoe UI" w:eastAsia="Times New Roman" w:hAnsi="Segoe UI" w:cs="Segoe UI"/>
          <w:color w:val="505050"/>
          <w:sz w:val="21"/>
          <w:szCs w:val="21"/>
          <w:lang w:eastAsia="fr-FR"/>
        </w:rPr>
        <w:t>Les pensions complémentaires AGIRC-ARRCO ne sont pas concernées par les mesures de la loi «</w:t>
      </w:r>
      <w:r w:rsidRPr="00971CC2">
        <w:rPr>
          <w:rFonts w:ascii="Segoe UI" w:eastAsia="Times New Roman" w:hAnsi="Segoe UI" w:cs="Segoe UI"/>
          <w:color w:val="505050"/>
          <w:sz w:val="15"/>
          <w:szCs w:val="15"/>
          <w:lang w:eastAsia="fr-FR"/>
        </w:rPr>
        <w:t> </w:t>
      </w:r>
      <w:r w:rsidRPr="00971CC2">
        <w:rPr>
          <w:rFonts w:ascii="Segoe UI" w:eastAsia="Times New Roman" w:hAnsi="Segoe UI" w:cs="Segoe UI"/>
          <w:color w:val="505050"/>
          <w:sz w:val="21"/>
          <w:szCs w:val="21"/>
          <w:lang w:eastAsia="fr-FR"/>
        </w:rPr>
        <w:t>Pouvoir d’achat</w:t>
      </w:r>
      <w:r w:rsidRPr="00971CC2">
        <w:rPr>
          <w:rFonts w:ascii="Segoe UI" w:eastAsia="Times New Roman" w:hAnsi="Segoe UI" w:cs="Segoe UI"/>
          <w:color w:val="505050"/>
          <w:sz w:val="15"/>
          <w:szCs w:val="15"/>
          <w:lang w:eastAsia="fr-FR"/>
        </w:rPr>
        <w:t> </w:t>
      </w:r>
      <w:r w:rsidRPr="00971CC2">
        <w:rPr>
          <w:rFonts w:ascii="Segoe UI" w:eastAsia="Times New Roman" w:hAnsi="Segoe UI" w:cs="Segoe UI"/>
          <w:color w:val="505050"/>
          <w:sz w:val="21"/>
          <w:szCs w:val="21"/>
          <w:lang w:eastAsia="fr-FR"/>
        </w:rPr>
        <w:t>». Pas d’augmentation de 4% au 1</w:t>
      </w:r>
      <w:r w:rsidRPr="00971CC2">
        <w:rPr>
          <w:rFonts w:ascii="Segoe UI" w:eastAsia="Times New Roman" w:hAnsi="Segoe UI" w:cs="Segoe UI"/>
          <w:color w:val="505050"/>
          <w:sz w:val="21"/>
          <w:szCs w:val="21"/>
          <w:vertAlign w:val="superscript"/>
          <w:lang w:eastAsia="fr-FR"/>
        </w:rPr>
        <w:t>er</w:t>
      </w:r>
      <w:r w:rsidRPr="00971CC2">
        <w:rPr>
          <w:rFonts w:ascii="Segoe UI" w:eastAsia="Times New Roman" w:hAnsi="Segoe UI" w:cs="Segoe UI"/>
          <w:color w:val="505050"/>
          <w:sz w:val="21"/>
          <w:szCs w:val="21"/>
          <w:lang w:eastAsia="fr-FR"/>
        </w:rPr>
        <w:t> juillet</w:t>
      </w:r>
      <w:r w:rsidRPr="00971CC2">
        <w:rPr>
          <w:rFonts w:ascii="Segoe UI" w:eastAsia="Times New Roman" w:hAnsi="Segoe UI" w:cs="Segoe UI"/>
          <w:color w:val="505050"/>
          <w:sz w:val="15"/>
          <w:szCs w:val="15"/>
          <w:lang w:eastAsia="fr-FR"/>
        </w:rPr>
        <w:t> </w:t>
      </w:r>
      <w:r w:rsidRPr="00971CC2">
        <w:rPr>
          <w:rFonts w:ascii="Segoe UI" w:eastAsia="Times New Roman" w:hAnsi="Segoe UI" w:cs="Segoe UI"/>
          <w:color w:val="505050"/>
          <w:sz w:val="21"/>
          <w:szCs w:val="21"/>
          <w:lang w:eastAsia="fr-FR"/>
        </w:rPr>
        <w:t>! La négociation entre partenaires sociaux gestionnaires s’ouvrira en octobre. Pour quelle revalorisation</w:t>
      </w:r>
      <w:r w:rsidRPr="00971CC2">
        <w:rPr>
          <w:rFonts w:ascii="Segoe UI" w:eastAsia="Times New Roman" w:hAnsi="Segoe UI" w:cs="Segoe UI"/>
          <w:color w:val="505050"/>
          <w:sz w:val="15"/>
          <w:szCs w:val="15"/>
          <w:lang w:eastAsia="fr-FR"/>
        </w:rPr>
        <w:t> </w:t>
      </w:r>
      <w:r w:rsidRPr="00971CC2">
        <w:rPr>
          <w:rFonts w:ascii="Segoe UI" w:eastAsia="Times New Roman" w:hAnsi="Segoe UI" w:cs="Segoe UI"/>
          <w:color w:val="505050"/>
          <w:sz w:val="21"/>
          <w:szCs w:val="21"/>
          <w:lang w:eastAsia="fr-FR"/>
        </w:rPr>
        <w:t>? Pour en savoir plus, lire la suite.</w:t>
      </w:r>
      <w:r w:rsidRPr="00971CC2">
        <w:rPr>
          <w:rFonts w:ascii="Segoe UI" w:eastAsia="Times New Roman" w:hAnsi="Segoe UI" w:cs="Segoe UI"/>
          <w:color w:val="505050"/>
          <w:sz w:val="21"/>
          <w:szCs w:val="21"/>
          <w:lang w:eastAsia="fr-FR"/>
        </w:rPr>
        <w:br/>
        <w:t>Les retraites complémentaires (...)</w:t>
      </w:r>
    </w:p>
    <w:p w:rsidR="00971CC2" w:rsidRPr="00971CC2" w:rsidRDefault="00971CC2" w:rsidP="00971CC2">
      <w:pPr>
        <w:spacing w:after="0" w:line="315" w:lineRule="atLeast"/>
        <w:rPr>
          <w:rFonts w:ascii="Segoe UI" w:eastAsia="Times New Roman" w:hAnsi="Segoe UI" w:cs="Segoe UI"/>
          <w:color w:val="505050"/>
          <w:sz w:val="21"/>
          <w:szCs w:val="21"/>
          <w:lang w:eastAsia="fr-FR"/>
        </w:rPr>
      </w:pPr>
      <w:hyperlink r:id="rId8" w:tgtFrame="_blank" w:history="1">
        <w:r w:rsidRPr="00971CC2">
          <w:rPr>
            <w:rFonts w:ascii="Segoe UI" w:eastAsia="Times New Roman" w:hAnsi="Segoe UI" w:cs="Segoe UI"/>
            <w:color w:val="1155CC"/>
            <w:sz w:val="21"/>
            <w:szCs w:val="21"/>
            <w:u w:val="single"/>
            <w:lang w:eastAsia="fr-FR"/>
          </w:rPr>
          <w:t>Lire en ligne : </w:t>
        </w:r>
        <w:r w:rsidRPr="00971CC2">
          <w:rPr>
            <w:rFonts w:ascii="Segoe UI" w:eastAsia="Times New Roman" w:hAnsi="Segoe UI" w:cs="Segoe UI"/>
            <w:b/>
            <w:bCs/>
            <w:color w:val="1155CC"/>
            <w:sz w:val="21"/>
            <w:szCs w:val="21"/>
            <w:u w:val="single"/>
            <w:lang w:eastAsia="fr-FR"/>
          </w:rPr>
          <w:t>Retraites complémentaires : aucune évolution en juillet.</w:t>
        </w:r>
      </w:hyperlink>
    </w:p>
    <w:p w:rsidR="00971CC2" w:rsidRPr="00971CC2" w:rsidRDefault="00971CC2" w:rsidP="00971CC2">
      <w:pPr>
        <w:spacing w:after="0" w:line="240" w:lineRule="auto"/>
        <w:rPr>
          <w:rFonts w:ascii="Times New Roman" w:eastAsia="Times New Roman" w:hAnsi="Times New Roman" w:cs="Times New Roman"/>
          <w:sz w:val="24"/>
          <w:szCs w:val="24"/>
          <w:lang w:eastAsia="fr-FR"/>
        </w:rPr>
      </w:pPr>
      <w:r w:rsidRPr="00971CC2">
        <w:rPr>
          <w:rFonts w:ascii="Times New Roman" w:eastAsia="Times New Roman" w:hAnsi="Times New Roman" w:cs="Times New Roman"/>
          <w:sz w:val="24"/>
          <w:szCs w:val="24"/>
          <w:lang w:eastAsia="fr-FR"/>
        </w:rPr>
        <w:pict>
          <v:rect id="_x0000_i1030" style="width:0;height:.75pt" o:hralign="center" o:hrstd="t" o:hrnoshade="t" o:hr="t" fillcolor="black" stroked="f"/>
        </w:pict>
      </w:r>
    </w:p>
    <w:p w:rsidR="00971CC2" w:rsidRPr="00971CC2" w:rsidRDefault="00971CC2" w:rsidP="00971CC2">
      <w:pPr>
        <w:spacing w:after="150" w:line="315" w:lineRule="atLeast"/>
        <w:rPr>
          <w:rFonts w:ascii="Segoe UI" w:eastAsia="Times New Roman" w:hAnsi="Segoe UI" w:cs="Segoe UI"/>
          <w:b/>
          <w:bCs/>
          <w:color w:val="13235A"/>
          <w:sz w:val="32"/>
          <w:szCs w:val="32"/>
          <w:lang w:eastAsia="fr-FR"/>
        </w:rPr>
      </w:pPr>
      <w:r w:rsidRPr="00971CC2">
        <w:rPr>
          <w:rFonts w:ascii="Segoe UI" w:eastAsia="Times New Roman" w:hAnsi="Segoe UI" w:cs="Segoe UI"/>
          <w:b/>
          <w:bCs/>
          <w:i/>
          <w:iCs/>
          <w:color w:val="FFFFFF"/>
          <w:sz w:val="32"/>
          <w:szCs w:val="32"/>
          <w:shd w:val="clear" w:color="auto" w:fill="00A9E0"/>
          <w:lang w:eastAsia="fr-FR"/>
        </w:rPr>
        <w:t>Société</w:t>
      </w:r>
      <w:r w:rsidRPr="00971CC2">
        <w:rPr>
          <w:rFonts w:ascii="Segoe UI" w:eastAsia="Times New Roman" w:hAnsi="Segoe UI" w:cs="Segoe UI"/>
          <w:b/>
          <w:bCs/>
          <w:color w:val="13235A"/>
          <w:sz w:val="32"/>
          <w:szCs w:val="32"/>
          <w:lang w:eastAsia="fr-FR"/>
        </w:rPr>
        <w:br/>
      </w:r>
      <w:r w:rsidRPr="00971CC2">
        <w:rPr>
          <w:rFonts w:ascii="Segoe UI" w:eastAsia="Times New Roman" w:hAnsi="Segoe UI" w:cs="Segoe UI"/>
          <w:b/>
          <w:bCs/>
          <w:color w:val="13235A"/>
          <w:sz w:val="32"/>
          <w:szCs w:val="32"/>
          <w:lang w:eastAsia="fr-FR"/>
        </w:rPr>
        <w:br/>
        <w:t>Le droit de visite et d’hébergement des grands-parents</w:t>
      </w:r>
    </w:p>
    <w:p w:rsidR="00971CC2" w:rsidRPr="00971CC2" w:rsidRDefault="00971CC2" w:rsidP="00971CC2">
      <w:pPr>
        <w:spacing w:before="100" w:beforeAutospacing="1" w:after="100" w:afterAutospacing="1" w:line="315" w:lineRule="atLeast"/>
        <w:rPr>
          <w:rFonts w:ascii="Segoe UI" w:eastAsia="Times New Roman" w:hAnsi="Segoe UI" w:cs="Segoe UI"/>
          <w:color w:val="505050"/>
          <w:sz w:val="21"/>
          <w:szCs w:val="21"/>
          <w:lang w:eastAsia="fr-FR"/>
        </w:rPr>
      </w:pPr>
      <w:r w:rsidRPr="00971CC2">
        <w:rPr>
          <w:rFonts w:ascii="Segoe UI" w:eastAsia="Times New Roman" w:hAnsi="Segoe UI" w:cs="Segoe UI"/>
          <w:color w:val="505050"/>
          <w:sz w:val="21"/>
          <w:szCs w:val="21"/>
          <w:lang w:eastAsia="fr-FR"/>
        </w:rPr>
        <w:t>Plus disponibles lorsqu’ils sont à la retraite, les grands-parents prennent plaisir à s’occuper de leurs petits-enfants pour les voir grandir et s’épanouir. Que faire lorsque la relation familiale se dégrade au point de rompre le lien entre les grands-parents et leurs petits-enfants</w:t>
      </w:r>
      <w:r w:rsidRPr="00971CC2">
        <w:rPr>
          <w:rFonts w:ascii="Segoe UI" w:eastAsia="Times New Roman" w:hAnsi="Segoe UI" w:cs="Segoe UI"/>
          <w:color w:val="505050"/>
          <w:sz w:val="15"/>
          <w:szCs w:val="15"/>
          <w:lang w:eastAsia="fr-FR"/>
        </w:rPr>
        <w:t> </w:t>
      </w:r>
      <w:r w:rsidRPr="00971CC2">
        <w:rPr>
          <w:rFonts w:ascii="Segoe UI" w:eastAsia="Times New Roman" w:hAnsi="Segoe UI" w:cs="Segoe UI"/>
          <w:color w:val="505050"/>
          <w:sz w:val="21"/>
          <w:szCs w:val="21"/>
          <w:lang w:eastAsia="fr-FR"/>
        </w:rPr>
        <w:t>?</w:t>
      </w:r>
      <w:r w:rsidRPr="00971CC2">
        <w:rPr>
          <w:rFonts w:ascii="Segoe UI" w:eastAsia="Times New Roman" w:hAnsi="Segoe UI" w:cs="Segoe UI"/>
          <w:color w:val="505050"/>
          <w:sz w:val="21"/>
          <w:szCs w:val="21"/>
          <w:lang w:eastAsia="fr-FR"/>
        </w:rPr>
        <w:br/>
        <w:t>Près de 70% des grands-parents (...)</w:t>
      </w:r>
    </w:p>
    <w:p w:rsidR="00971CC2" w:rsidRPr="00971CC2" w:rsidRDefault="00971CC2" w:rsidP="00971CC2">
      <w:pPr>
        <w:spacing w:after="0" w:line="315" w:lineRule="atLeast"/>
        <w:rPr>
          <w:rFonts w:ascii="Segoe UI" w:eastAsia="Times New Roman" w:hAnsi="Segoe UI" w:cs="Segoe UI"/>
          <w:color w:val="505050"/>
          <w:sz w:val="21"/>
          <w:szCs w:val="21"/>
          <w:lang w:eastAsia="fr-FR"/>
        </w:rPr>
      </w:pPr>
      <w:hyperlink r:id="rId9" w:tgtFrame="_blank" w:history="1">
        <w:r w:rsidRPr="00971CC2">
          <w:rPr>
            <w:rFonts w:ascii="Segoe UI" w:eastAsia="Times New Roman" w:hAnsi="Segoe UI" w:cs="Segoe UI"/>
            <w:color w:val="1155CC"/>
            <w:sz w:val="21"/>
            <w:szCs w:val="21"/>
            <w:u w:val="single"/>
            <w:lang w:eastAsia="fr-FR"/>
          </w:rPr>
          <w:t>Lire en ligne : </w:t>
        </w:r>
        <w:r w:rsidRPr="00971CC2">
          <w:rPr>
            <w:rFonts w:ascii="Segoe UI" w:eastAsia="Times New Roman" w:hAnsi="Segoe UI" w:cs="Segoe UI"/>
            <w:b/>
            <w:bCs/>
            <w:color w:val="1155CC"/>
            <w:sz w:val="21"/>
            <w:szCs w:val="21"/>
            <w:u w:val="single"/>
            <w:lang w:eastAsia="fr-FR"/>
          </w:rPr>
          <w:t>Le droit de visite et d’hébergement des grands-parents</w:t>
        </w:r>
      </w:hyperlink>
    </w:p>
    <w:p w:rsidR="00A61DC5" w:rsidRDefault="00A61DC5">
      <w:bookmarkStart w:id="0" w:name="_GoBack"/>
      <w:bookmarkEnd w:id="0"/>
    </w:p>
    <w:sectPr w:rsidR="00A61D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CC2"/>
    <w:rsid w:val="00971CC2"/>
    <w:rsid w:val="00A61D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570342">
      <w:bodyDiv w:val="1"/>
      <w:marLeft w:val="0"/>
      <w:marRight w:val="0"/>
      <w:marTop w:val="0"/>
      <w:marBottom w:val="0"/>
      <w:divBdr>
        <w:top w:val="none" w:sz="0" w:space="0" w:color="auto"/>
        <w:left w:val="none" w:sz="0" w:space="0" w:color="auto"/>
        <w:bottom w:val="none" w:sz="0" w:space="0" w:color="auto"/>
        <w:right w:val="none" w:sz="0" w:space="0" w:color="auto"/>
      </w:divBdr>
      <w:divsChild>
        <w:div w:id="816723020">
          <w:marLeft w:val="0"/>
          <w:marRight w:val="0"/>
          <w:marTop w:val="150"/>
          <w:marBottom w:val="150"/>
          <w:divBdr>
            <w:top w:val="none" w:sz="0" w:space="0" w:color="auto"/>
            <w:left w:val="none" w:sz="0" w:space="0" w:color="auto"/>
            <w:bottom w:val="none" w:sz="0" w:space="0" w:color="auto"/>
            <w:right w:val="none" w:sz="0" w:space="0" w:color="auto"/>
          </w:divBdr>
        </w:div>
        <w:div w:id="1694458695">
          <w:marLeft w:val="0"/>
          <w:marRight w:val="0"/>
          <w:marTop w:val="0"/>
          <w:marBottom w:val="0"/>
          <w:divBdr>
            <w:top w:val="none" w:sz="0" w:space="0" w:color="auto"/>
            <w:left w:val="none" w:sz="0" w:space="0" w:color="auto"/>
            <w:bottom w:val="none" w:sz="0" w:space="0" w:color="auto"/>
            <w:right w:val="none" w:sz="0" w:space="0" w:color="auto"/>
          </w:divBdr>
        </w:div>
        <w:div w:id="909265668">
          <w:marLeft w:val="0"/>
          <w:marRight w:val="0"/>
          <w:marTop w:val="0"/>
          <w:marBottom w:val="0"/>
          <w:divBdr>
            <w:top w:val="none" w:sz="0" w:space="0" w:color="auto"/>
            <w:left w:val="none" w:sz="0" w:space="0" w:color="auto"/>
            <w:bottom w:val="none" w:sz="0" w:space="0" w:color="auto"/>
            <w:right w:val="none" w:sz="0" w:space="0" w:color="auto"/>
          </w:divBdr>
        </w:div>
        <w:div w:id="116879349">
          <w:marLeft w:val="0"/>
          <w:marRight w:val="0"/>
          <w:marTop w:val="0"/>
          <w:marBottom w:val="0"/>
          <w:divBdr>
            <w:top w:val="none" w:sz="0" w:space="0" w:color="auto"/>
            <w:left w:val="none" w:sz="0" w:space="0" w:color="auto"/>
            <w:bottom w:val="none" w:sz="0" w:space="0" w:color="auto"/>
            <w:right w:val="none" w:sz="0" w:space="0" w:color="auto"/>
          </w:divBdr>
        </w:div>
        <w:div w:id="619459669">
          <w:marLeft w:val="0"/>
          <w:marRight w:val="0"/>
          <w:marTop w:val="0"/>
          <w:marBottom w:val="0"/>
          <w:divBdr>
            <w:top w:val="none" w:sz="0" w:space="0" w:color="auto"/>
            <w:left w:val="none" w:sz="0" w:space="0" w:color="auto"/>
            <w:bottom w:val="none" w:sz="0" w:space="0" w:color="auto"/>
            <w:right w:val="none" w:sz="0" w:space="0" w:color="auto"/>
          </w:divBdr>
        </w:div>
        <w:div w:id="1097481390">
          <w:marLeft w:val="0"/>
          <w:marRight w:val="0"/>
          <w:marTop w:val="0"/>
          <w:marBottom w:val="0"/>
          <w:divBdr>
            <w:top w:val="none" w:sz="0" w:space="0" w:color="auto"/>
            <w:left w:val="none" w:sz="0" w:space="0" w:color="auto"/>
            <w:bottom w:val="none" w:sz="0" w:space="0" w:color="auto"/>
            <w:right w:val="none" w:sz="0" w:space="0" w:color="auto"/>
          </w:divBdr>
        </w:div>
        <w:div w:id="1990208276">
          <w:marLeft w:val="0"/>
          <w:marRight w:val="0"/>
          <w:marTop w:val="0"/>
          <w:marBottom w:val="0"/>
          <w:divBdr>
            <w:top w:val="none" w:sz="0" w:space="0" w:color="auto"/>
            <w:left w:val="none" w:sz="0" w:space="0" w:color="auto"/>
            <w:bottom w:val="none" w:sz="0" w:space="0" w:color="auto"/>
            <w:right w:val="none" w:sz="0" w:space="0" w:color="auto"/>
          </w:divBdr>
        </w:div>
        <w:div w:id="880751054">
          <w:marLeft w:val="0"/>
          <w:marRight w:val="0"/>
          <w:marTop w:val="0"/>
          <w:marBottom w:val="0"/>
          <w:divBdr>
            <w:top w:val="none" w:sz="0" w:space="0" w:color="auto"/>
            <w:left w:val="none" w:sz="0" w:space="0" w:color="auto"/>
            <w:bottom w:val="none" w:sz="0" w:space="0" w:color="auto"/>
            <w:right w:val="none" w:sz="0" w:space="0" w:color="auto"/>
          </w:divBdr>
        </w:div>
        <w:div w:id="1236667546">
          <w:marLeft w:val="0"/>
          <w:marRight w:val="0"/>
          <w:marTop w:val="0"/>
          <w:marBottom w:val="0"/>
          <w:divBdr>
            <w:top w:val="none" w:sz="0" w:space="0" w:color="auto"/>
            <w:left w:val="none" w:sz="0" w:space="0" w:color="auto"/>
            <w:bottom w:val="none" w:sz="0" w:space="0" w:color="auto"/>
            <w:right w:val="none" w:sz="0" w:space="0" w:color="auto"/>
          </w:divBdr>
        </w:div>
        <w:div w:id="1842238815">
          <w:marLeft w:val="0"/>
          <w:marRight w:val="0"/>
          <w:marTop w:val="0"/>
          <w:marBottom w:val="0"/>
          <w:divBdr>
            <w:top w:val="none" w:sz="0" w:space="0" w:color="auto"/>
            <w:left w:val="none" w:sz="0" w:space="0" w:color="auto"/>
            <w:bottom w:val="none" w:sz="0" w:space="0" w:color="auto"/>
            <w:right w:val="none" w:sz="0" w:space="0" w:color="auto"/>
          </w:divBdr>
        </w:div>
        <w:div w:id="939066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traites.unsa.org/retraites-complementaires-aucune-evolution-en-juillet" TargetMode="External"/><Relationship Id="rId3" Type="http://schemas.openxmlformats.org/officeDocument/2006/relationships/settings" Target="settings.xml"/><Relationship Id="rId7" Type="http://schemas.openxmlformats.org/officeDocument/2006/relationships/hyperlink" Target="https://retraites.unsa.org/evolution-des-pensions-de-base-et-des-regimes-alignes-le-compte-n-y-est-pa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etraites.unsa.org/l-ere-des-bouleversements" TargetMode="External"/><Relationship Id="rId11" Type="http://schemas.openxmlformats.org/officeDocument/2006/relationships/theme" Target="theme/theme1.xml"/><Relationship Id="rId5" Type="http://schemas.openxmlformats.org/officeDocument/2006/relationships/hyperlink" Target="https://retraites.unsa.org/plein-phare-sur-le-congr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traites.unsa.org/le-droit-de-visite-et-d-hebergement-des-grands-parent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484</Words>
  <Characters>2667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preval.sebastien@free.fr</dc:creator>
  <cp:lastModifiedBy>preval.sebastien@free.fr</cp:lastModifiedBy>
  <cp:revision>1</cp:revision>
  <dcterms:created xsi:type="dcterms:W3CDTF">2022-08-27T09:39:00Z</dcterms:created>
  <dcterms:modified xsi:type="dcterms:W3CDTF">2022-08-27T09:41:00Z</dcterms:modified>
</cp:coreProperties>
</file>