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17" w:rsidRDefault="00C43F17" w:rsidP="00A70795">
      <w:pPr>
        <w:spacing w:line="240" w:lineRule="auto"/>
        <w:rPr>
          <w:rFonts w:cs="Arial"/>
          <w:sz w:val="24"/>
          <w:szCs w:val="24"/>
        </w:rPr>
      </w:pPr>
    </w:p>
    <w:p w:rsidR="005E5C1F" w:rsidRDefault="005E5C1F" w:rsidP="005E5C1F">
      <w:pPr>
        <w:pStyle w:val="Default"/>
        <w:rPr>
          <w:color w:val="auto"/>
        </w:rPr>
      </w:pPr>
    </w:p>
    <w:p w:rsidR="005E5C1F" w:rsidRDefault="005E5C1F" w:rsidP="005E5C1F">
      <w:pPr>
        <w:pStyle w:val="Default"/>
        <w:jc w:val="right"/>
        <w:rPr>
          <w:color w:val="auto"/>
          <w:sz w:val="22"/>
          <w:szCs w:val="22"/>
        </w:rPr>
      </w:pPr>
    </w:p>
    <w:p w:rsidR="005E5C1F" w:rsidRDefault="005E5C1F" w:rsidP="005E5C1F">
      <w:pPr>
        <w:pStyle w:val="Default"/>
        <w:jc w:val="right"/>
        <w:rPr>
          <w:color w:val="auto"/>
          <w:sz w:val="22"/>
          <w:szCs w:val="22"/>
        </w:rPr>
      </w:pPr>
    </w:p>
    <w:p w:rsidR="005E5C1F" w:rsidRPr="00536110" w:rsidRDefault="005E5C1F" w:rsidP="005E5C1F">
      <w:pPr>
        <w:pStyle w:val="Default"/>
        <w:jc w:val="right"/>
        <w:rPr>
          <w:color w:val="auto"/>
          <w:sz w:val="22"/>
          <w:szCs w:val="22"/>
        </w:rPr>
      </w:pPr>
      <w:r w:rsidRPr="00536110">
        <w:rPr>
          <w:color w:val="auto"/>
          <w:sz w:val="22"/>
          <w:szCs w:val="22"/>
        </w:rPr>
        <w:t xml:space="preserve">Toulouse, le </w:t>
      </w: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</w:p>
    <w:p w:rsidR="005E5C1F" w:rsidRDefault="005E5C1F" w:rsidP="005E5C1F">
      <w:pPr>
        <w:pStyle w:val="Default"/>
        <w:rPr>
          <w:b/>
          <w:bCs/>
          <w:color w:val="auto"/>
          <w:sz w:val="22"/>
          <w:szCs w:val="22"/>
        </w:rPr>
      </w:pP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  <w:r w:rsidRPr="00536110">
        <w:rPr>
          <w:b/>
          <w:bCs/>
          <w:color w:val="auto"/>
          <w:sz w:val="22"/>
          <w:szCs w:val="22"/>
        </w:rPr>
        <w:t xml:space="preserve">Objet : </w:t>
      </w:r>
      <w:r>
        <w:rPr>
          <w:b/>
          <w:bCs/>
          <w:color w:val="auto"/>
          <w:sz w:val="22"/>
          <w:szCs w:val="22"/>
        </w:rPr>
        <w:t xml:space="preserve">Projet de </w:t>
      </w:r>
      <w:r w:rsidRPr="00536110">
        <w:rPr>
          <w:b/>
          <w:bCs/>
          <w:color w:val="auto"/>
          <w:sz w:val="22"/>
          <w:szCs w:val="22"/>
        </w:rPr>
        <w:t xml:space="preserve">Loi Ecole de la confiance </w:t>
      </w: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</w:p>
    <w:p w:rsidR="00825E6E" w:rsidRDefault="00825E6E" w:rsidP="005E5C1F">
      <w:pPr>
        <w:pStyle w:val="Default"/>
        <w:rPr>
          <w:color w:val="auto"/>
          <w:sz w:val="22"/>
          <w:szCs w:val="22"/>
        </w:rPr>
      </w:pP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  <w:r w:rsidRPr="00536110">
        <w:rPr>
          <w:color w:val="auto"/>
          <w:sz w:val="22"/>
          <w:szCs w:val="22"/>
        </w:rPr>
        <w:t>Madame, Monsieur,</w:t>
      </w:r>
    </w:p>
    <w:p w:rsidR="005E5C1F" w:rsidRPr="00536110" w:rsidRDefault="005E5C1F" w:rsidP="005E5C1F">
      <w:pPr>
        <w:pStyle w:val="Default"/>
        <w:rPr>
          <w:color w:val="auto"/>
          <w:sz w:val="22"/>
          <w:szCs w:val="22"/>
        </w:rPr>
      </w:pPr>
    </w:p>
    <w:p w:rsidR="001C3443" w:rsidRPr="00C43F17" w:rsidRDefault="001C3443" w:rsidP="005E5C1F">
      <w:pPr>
        <w:spacing w:line="240" w:lineRule="auto"/>
        <w:rPr>
          <w:rFonts w:cs="Arial"/>
          <w:sz w:val="24"/>
          <w:szCs w:val="24"/>
        </w:rPr>
      </w:pPr>
    </w:p>
    <w:p w:rsidR="001C3443" w:rsidRPr="00C43F17" w:rsidRDefault="001C3443" w:rsidP="00A70795">
      <w:pPr>
        <w:spacing w:line="240" w:lineRule="auto"/>
        <w:rPr>
          <w:rFonts w:cs="Arial"/>
          <w:sz w:val="24"/>
          <w:szCs w:val="24"/>
        </w:rPr>
      </w:pPr>
      <w:r w:rsidRPr="00C43F17">
        <w:rPr>
          <w:rFonts w:cs="Arial"/>
          <w:sz w:val="24"/>
          <w:szCs w:val="24"/>
        </w:rPr>
        <w:t>Alors que le projet de loi pour une école de la confiance a connu de nom</w:t>
      </w:r>
      <w:r w:rsidR="002F431F" w:rsidRPr="00C43F17">
        <w:rPr>
          <w:rFonts w:cs="Arial"/>
          <w:sz w:val="24"/>
          <w:szCs w:val="24"/>
        </w:rPr>
        <w:t>breuses modifications lors de ses</w:t>
      </w:r>
      <w:r w:rsidRPr="00C43F17">
        <w:rPr>
          <w:rFonts w:cs="Arial"/>
          <w:sz w:val="24"/>
          <w:szCs w:val="24"/>
        </w:rPr>
        <w:t xml:space="preserve"> passage</w:t>
      </w:r>
      <w:r w:rsidR="002F431F" w:rsidRPr="00C43F17">
        <w:rPr>
          <w:rFonts w:cs="Arial"/>
          <w:sz w:val="24"/>
          <w:szCs w:val="24"/>
        </w:rPr>
        <w:t>s</w:t>
      </w:r>
      <w:r w:rsidRPr="00C43F17">
        <w:rPr>
          <w:rFonts w:cs="Arial"/>
          <w:sz w:val="24"/>
          <w:szCs w:val="24"/>
        </w:rPr>
        <w:t xml:space="preserve"> en première lecture à l’Assemblée Nationale et au Sénat, nous souhaitons vous faire part des</w:t>
      </w:r>
      <w:r w:rsidR="002F431F" w:rsidRPr="00C43F17">
        <w:rPr>
          <w:rFonts w:cs="Arial"/>
          <w:sz w:val="24"/>
          <w:szCs w:val="24"/>
        </w:rPr>
        <w:t xml:space="preserve"> désaccords </w:t>
      </w:r>
      <w:r w:rsidRPr="00C43F17">
        <w:rPr>
          <w:rFonts w:cs="Arial"/>
          <w:sz w:val="24"/>
          <w:szCs w:val="24"/>
        </w:rPr>
        <w:t>des personnels que nous représentons</w:t>
      </w:r>
      <w:r w:rsidR="005120F0" w:rsidRPr="00C43F17">
        <w:rPr>
          <w:rFonts w:cs="Arial"/>
          <w:sz w:val="24"/>
          <w:szCs w:val="24"/>
        </w:rPr>
        <w:t xml:space="preserve"> quant à certaines des dispositions qui y sont inscrites</w:t>
      </w:r>
      <w:r w:rsidRPr="00C43F17">
        <w:rPr>
          <w:rFonts w:cs="Arial"/>
          <w:sz w:val="24"/>
          <w:szCs w:val="24"/>
        </w:rPr>
        <w:t>.</w:t>
      </w:r>
    </w:p>
    <w:p w:rsidR="00825E6E" w:rsidRDefault="00A70795" w:rsidP="00A70795">
      <w:pPr>
        <w:spacing w:line="240" w:lineRule="auto"/>
        <w:rPr>
          <w:rFonts w:cs="Arial"/>
          <w:sz w:val="24"/>
          <w:szCs w:val="24"/>
        </w:rPr>
      </w:pPr>
      <w:r w:rsidRPr="00C43F17">
        <w:rPr>
          <w:rFonts w:cs="Arial"/>
          <w:sz w:val="24"/>
          <w:szCs w:val="24"/>
        </w:rPr>
        <w:t xml:space="preserve">Tout d’abord, nous tenons </w:t>
      </w:r>
      <w:r w:rsidR="00070C09" w:rsidRPr="00C43F17">
        <w:rPr>
          <w:rFonts w:cs="Arial"/>
          <w:sz w:val="24"/>
          <w:szCs w:val="24"/>
        </w:rPr>
        <w:t xml:space="preserve">à rappeler </w:t>
      </w:r>
      <w:r w:rsidR="002F431F" w:rsidRPr="00C43F17">
        <w:rPr>
          <w:rFonts w:cs="Arial"/>
          <w:sz w:val="24"/>
          <w:szCs w:val="24"/>
        </w:rPr>
        <w:t>notre</w:t>
      </w:r>
      <w:r w:rsidR="00070C09" w:rsidRPr="00C43F17">
        <w:rPr>
          <w:rFonts w:cs="Arial"/>
          <w:sz w:val="24"/>
          <w:szCs w:val="24"/>
        </w:rPr>
        <w:t xml:space="preserve"> désaccord avec </w:t>
      </w:r>
      <w:r w:rsidR="00070C09" w:rsidRPr="00825E6E">
        <w:rPr>
          <w:rFonts w:cs="Arial"/>
          <w:b/>
          <w:sz w:val="24"/>
          <w:szCs w:val="24"/>
        </w:rPr>
        <w:t>l’article 1 qui voudrait « imposer » la confiance</w:t>
      </w:r>
      <w:r w:rsidR="00070C09" w:rsidRPr="00C43F17">
        <w:rPr>
          <w:rFonts w:cs="Arial"/>
          <w:sz w:val="24"/>
          <w:szCs w:val="24"/>
        </w:rPr>
        <w:t xml:space="preserve"> et qui n’a réussi qu’à nourrir les inquiétudes des personnels quant à leur droit d’expression. </w:t>
      </w:r>
    </w:p>
    <w:p w:rsidR="00825E6E" w:rsidRDefault="00070C09" w:rsidP="00A70795">
      <w:pPr>
        <w:spacing w:line="240" w:lineRule="auto"/>
        <w:rPr>
          <w:rFonts w:cs="Arial"/>
          <w:sz w:val="24"/>
          <w:szCs w:val="24"/>
        </w:rPr>
      </w:pPr>
      <w:r w:rsidRPr="00C43F17">
        <w:rPr>
          <w:rFonts w:cs="Arial"/>
          <w:sz w:val="24"/>
          <w:szCs w:val="24"/>
        </w:rPr>
        <w:t>Nous défendons</w:t>
      </w:r>
      <w:r w:rsidR="002F431F" w:rsidRPr="00C43F17">
        <w:rPr>
          <w:rFonts w:cs="Arial"/>
          <w:sz w:val="24"/>
          <w:szCs w:val="24"/>
        </w:rPr>
        <w:t xml:space="preserve"> </w:t>
      </w:r>
      <w:r w:rsidRPr="00825E6E">
        <w:rPr>
          <w:rFonts w:cs="Arial"/>
          <w:b/>
          <w:sz w:val="24"/>
          <w:szCs w:val="24"/>
        </w:rPr>
        <w:t xml:space="preserve">le maintien du </w:t>
      </w:r>
      <w:proofErr w:type="spellStart"/>
      <w:r w:rsidRPr="00825E6E">
        <w:rPr>
          <w:rFonts w:cs="Arial"/>
          <w:b/>
          <w:sz w:val="24"/>
          <w:szCs w:val="24"/>
        </w:rPr>
        <w:t>Cnesco</w:t>
      </w:r>
      <w:proofErr w:type="spellEnd"/>
      <w:r w:rsidRPr="00825E6E">
        <w:rPr>
          <w:rFonts w:cs="Arial"/>
          <w:b/>
          <w:sz w:val="24"/>
          <w:szCs w:val="24"/>
        </w:rPr>
        <w:t xml:space="preserve"> et sommes opposés à la création d’un Conseil d’Evaluation de l’Ecole</w:t>
      </w:r>
      <w:r w:rsidRPr="00C43F17">
        <w:rPr>
          <w:rFonts w:cs="Arial"/>
          <w:sz w:val="24"/>
          <w:szCs w:val="24"/>
        </w:rPr>
        <w:t xml:space="preserve"> dont la principale mission sera de construire l’évaluation des établissements au service d’un pilotage par les « </w:t>
      </w:r>
      <w:r w:rsidR="00A70795" w:rsidRPr="00C43F17">
        <w:rPr>
          <w:rFonts w:cs="Arial"/>
          <w:sz w:val="24"/>
          <w:szCs w:val="24"/>
        </w:rPr>
        <w:t>résulta</w:t>
      </w:r>
      <w:r w:rsidRPr="00C43F17">
        <w:rPr>
          <w:rFonts w:cs="Arial"/>
          <w:sz w:val="24"/>
          <w:szCs w:val="24"/>
        </w:rPr>
        <w:t xml:space="preserve">ts ». </w:t>
      </w:r>
    </w:p>
    <w:p w:rsidR="005120F0" w:rsidRPr="00C43F17" w:rsidRDefault="00070C09" w:rsidP="00A70795">
      <w:pPr>
        <w:spacing w:line="240" w:lineRule="auto"/>
        <w:rPr>
          <w:rFonts w:cs="Arial"/>
          <w:sz w:val="24"/>
          <w:szCs w:val="24"/>
        </w:rPr>
      </w:pPr>
      <w:r w:rsidRPr="00C43F17">
        <w:rPr>
          <w:rFonts w:cs="Arial"/>
          <w:sz w:val="24"/>
          <w:szCs w:val="24"/>
        </w:rPr>
        <w:t>Nous sommes</w:t>
      </w:r>
      <w:r w:rsidR="002F431F" w:rsidRPr="00C43F17">
        <w:rPr>
          <w:rFonts w:cs="Arial"/>
          <w:sz w:val="24"/>
          <w:szCs w:val="24"/>
        </w:rPr>
        <w:t xml:space="preserve"> aussi</w:t>
      </w:r>
      <w:r w:rsidRPr="00C43F17">
        <w:rPr>
          <w:rFonts w:cs="Arial"/>
          <w:sz w:val="24"/>
          <w:szCs w:val="24"/>
        </w:rPr>
        <w:t xml:space="preserve"> </w:t>
      </w:r>
      <w:r w:rsidRPr="00825E6E">
        <w:rPr>
          <w:rFonts w:cs="Arial"/>
          <w:b/>
          <w:sz w:val="24"/>
          <w:szCs w:val="24"/>
        </w:rPr>
        <w:t>défavorables au développement d’EPLE internationaux</w:t>
      </w:r>
      <w:r w:rsidRPr="00C43F17">
        <w:rPr>
          <w:rFonts w:cs="Arial"/>
          <w:sz w:val="24"/>
          <w:szCs w:val="24"/>
        </w:rPr>
        <w:t xml:space="preserve">, établissements publics fonctionnant comme des établissements privés pour répondre aux besoins des familles les plus aisées. </w:t>
      </w:r>
      <w:r w:rsidR="00637219" w:rsidRPr="00C43F17">
        <w:rPr>
          <w:rFonts w:cs="Arial"/>
          <w:sz w:val="24"/>
          <w:szCs w:val="24"/>
        </w:rPr>
        <w:t xml:space="preserve">Plus largement, nous jugeons que </w:t>
      </w:r>
      <w:r w:rsidR="00637219" w:rsidRPr="00825E6E">
        <w:rPr>
          <w:rFonts w:cs="Arial"/>
          <w:b/>
          <w:sz w:val="24"/>
          <w:szCs w:val="24"/>
        </w:rPr>
        <w:t>la question des inégalités sociales de réussite scolaire</w:t>
      </w:r>
      <w:r w:rsidR="00637219" w:rsidRPr="00C43F17">
        <w:rPr>
          <w:rFonts w:cs="Arial"/>
          <w:sz w:val="24"/>
          <w:szCs w:val="24"/>
        </w:rPr>
        <w:t xml:space="preserve"> est peu prise en compte et ce n’est pas le retour de la suppression des allocations familiales en cas d’absentéisme qui contribuera à les réduire</w:t>
      </w:r>
      <w:r w:rsidR="002F431F" w:rsidRPr="00C43F17">
        <w:rPr>
          <w:rFonts w:cs="Arial"/>
          <w:sz w:val="24"/>
          <w:szCs w:val="24"/>
        </w:rPr>
        <w:t>, pas plus que l’effet d’aubaine pour l’enseignement privé de l’instruction obligatoire dès trois ans</w:t>
      </w:r>
      <w:r w:rsidR="00637219" w:rsidRPr="00C43F17">
        <w:rPr>
          <w:rFonts w:cs="Arial"/>
          <w:sz w:val="24"/>
          <w:szCs w:val="24"/>
        </w:rPr>
        <w:t>.</w:t>
      </w:r>
    </w:p>
    <w:p w:rsidR="00641E1B" w:rsidRPr="00C43F17" w:rsidRDefault="00641E1B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Le Sénat a supprimé </w:t>
      </w:r>
      <w:r w:rsidRPr="00825E6E">
        <w:rPr>
          <w:rFonts w:eastAsia="Times New Roman" w:cs="Arial"/>
          <w:b/>
          <w:sz w:val="24"/>
          <w:szCs w:val="24"/>
        </w:rPr>
        <w:t>le projet d’établissement public des savoirs fondamentaux</w:t>
      </w:r>
      <w:r w:rsidRPr="00C43F17">
        <w:rPr>
          <w:rFonts w:eastAsia="Times New Roman" w:cs="Arial"/>
          <w:sz w:val="24"/>
          <w:szCs w:val="24"/>
        </w:rPr>
        <w:t xml:space="preserve"> avec l’aval du ministre qui a pris acte de la mobilisation de la communauté éducative contre un projet tellement opaque qu’il a nourri toutes les craintes. Le SE-Unsa, qui a largement contribué à la mobilisation, se félicite de cette suppression. Elle doit être définitive.</w:t>
      </w:r>
    </w:p>
    <w:p w:rsidR="00A70795" w:rsidRPr="00C43F17" w:rsidRDefault="00641E1B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> </w:t>
      </w:r>
    </w:p>
    <w:p w:rsidR="00641E1B" w:rsidRPr="00C43F17" w:rsidRDefault="00641E1B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Cependant, cette victoire des personnels, des parents et des élus ne </w:t>
      </w:r>
      <w:r w:rsidR="00C43F17">
        <w:rPr>
          <w:rFonts w:eastAsia="Times New Roman" w:cs="Arial"/>
          <w:sz w:val="24"/>
          <w:szCs w:val="24"/>
        </w:rPr>
        <w:t xml:space="preserve">doit pas faire oublier </w:t>
      </w:r>
      <w:r w:rsidRPr="00C43F17">
        <w:rPr>
          <w:rFonts w:eastAsia="Times New Roman" w:cs="Arial"/>
          <w:sz w:val="24"/>
          <w:szCs w:val="24"/>
        </w:rPr>
        <w:t xml:space="preserve">que plusieurs dispositions introduites au </w:t>
      </w:r>
      <w:r w:rsidR="00C43F17" w:rsidRPr="00C43F17">
        <w:rPr>
          <w:rFonts w:eastAsia="Times New Roman" w:cs="Arial"/>
          <w:sz w:val="24"/>
          <w:szCs w:val="24"/>
        </w:rPr>
        <w:t>S</w:t>
      </w:r>
      <w:r w:rsidRPr="00C43F17">
        <w:rPr>
          <w:rFonts w:eastAsia="Times New Roman" w:cs="Arial"/>
          <w:sz w:val="24"/>
          <w:szCs w:val="24"/>
        </w:rPr>
        <w:t>énat aggrave le projet de loi sur d’autres points, en s’attaquant en particulier à plusieurs règles statutaires qui régissent l’exercice du métier d’enseignant</w:t>
      </w:r>
      <w:r w:rsidR="00C43F17">
        <w:rPr>
          <w:rFonts w:eastAsia="Times New Roman" w:cs="Arial"/>
          <w:sz w:val="24"/>
          <w:szCs w:val="24"/>
        </w:rPr>
        <w:t xml:space="preserve"> et de personnel d’éducation</w:t>
      </w:r>
      <w:r w:rsidRPr="00C43F17">
        <w:rPr>
          <w:rFonts w:eastAsia="Times New Roman" w:cs="Arial"/>
          <w:sz w:val="24"/>
          <w:szCs w:val="24"/>
        </w:rPr>
        <w:t xml:space="preserve">. </w:t>
      </w:r>
    </w:p>
    <w:p w:rsidR="00641E1B" w:rsidRPr="00C43F17" w:rsidRDefault="00641E1B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br/>
        <w:t>Le SE-Unsa vous demande de revenir sur </w:t>
      </w:r>
      <w:r w:rsidR="00637219" w:rsidRPr="00C43F17">
        <w:rPr>
          <w:rFonts w:eastAsia="Times New Roman" w:cs="Arial"/>
          <w:sz w:val="24"/>
          <w:szCs w:val="24"/>
        </w:rPr>
        <w:t>plusieurs dispositions qui constituent de véritables lignes rouges à ne pas franchir :</w:t>
      </w:r>
    </w:p>
    <w:p w:rsidR="00641E1B" w:rsidRPr="00C43F17" w:rsidRDefault="00641E1B" w:rsidP="009019E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l’instauration </w:t>
      </w:r>
      <w:r w:rsidRPr="009019E3">
        <w:rPr>
          <w:rFonts w:eastAsia="Times New Roman" w:cs="Arial"/>
          <w:b/>
          <w:sz w:val="24"/>
          <w:szCs w:val="24"/>
        </w:rPr>
        <w:t>d’un rapport d’autorité</w:t>
      </w:r>
      <w:r w:rsidRPr="00C43F17">
        <w:rPr>
          <w:rFonts w:eastAsia="Times New Roman" w:cs="Arial"/>
          <w:sz w:val="24"/>
          <w:szCs w:val="24"/>
        </w:rPr>
        <w:t xml:space="preserve"> entre le directeur d’école et les professeurs des écoles adjoints et sa participation à leur évaluation ;</w:t>
      </w:r>
    </w:p>
    <w:p w:rsidR="00641E1B" w:rsidRPr="00C43F17" w:rsidRDefault="00641E1B" w:rsidP="00A707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le caractère </w:t>
      </w:r>
      <w:r w:rsidRPr="009019E3">
        <w:rPr>
          <w:rFonts w:eastAsia="Times New Roman" w:cs="Arial"/>
          <w:b/>
          <w:sz w:val="24"/>
          <w:szCs w:val="24"/>
        </w:rPr>
        <w:t>obligatoire de la formation continue</w:t>
      </w:r>
      <w:r w:rsidRPr="00C43F17">
        <w:rPr>
          <w:rFonts w:eastAsia="Times New Roman" w:cs="Arial"/>
          <w:sz w:val="24"/>
          <w:szCs w:val="24"/>
        </w:rPr>
        <w:t xml:space="preserve"> en priorité en dehors du service d’enseignement ;</w:t>
      </w:r>
    </w:p>
    <w:p w:rsidR="00641E1B" w:rsidRPr="00C43F17" w:rsidRDefault="00641E1B" w:rsidP="00A707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la possibilité de </w:t>
      </w:r>
      <w:r w:rsidRPr="009019E3">
        <w:rPr>
          <w:rFonts w:eastAsia="Times New Roman" w:cs="Arial"/>
          <w:b/>
          <w:sz w:val="24"/>
          <w:szCs w:val="24"/>
        </w:rPr>
        <w:t>déroger aux obligations réglementaires</w:t>
      </w:r>
      <w:r w:rsidRPr="00C43F17">
        <w:rPr>
          <w:rFonts w:eastAsia="Times New Roman" w:cs="Arial"/>
          <w:sz w:val="24"/>
          <w:szCs w:val="24"/>
        </w:rPr>
        <w:t xml:space="preserve"> de service dans le cadre des expérimentations ;</w:t>
      </w:r>
    </w:p>
    <w:p w:rsidR="00641E1B" w:rsidRPr="00C43F17" w:rsidRDefault="00641E1B" w:rsidP="00A707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lastRenderedPageBreak/>
        <w:t xml:space="preserve">la possibilité de </w:t>
      </w:r>
      <w:r w:rsidRPr="00425434">
        <w:rPr>
          <w:rFonts w:eastAsia="Times New Roman" w:cs="Arial"/>
          <w:b/>
          <w:sz w:val="24"/>
          <w:szCs w:val="24"/>
        </w:rPr>
        <w:t>déroger aux règles statutaires</w:t>
      </w:r>
      <w:r w:rsidRPr="00C43F17">
        <w:rPr>
          <w:rFonts w:eastAsia="Times New Roman" w:cs="Arial"/>
          <w:sz w:val="24"/>
          <w:szCs w:val="24"/>
        </w:rPr>
        <w:t xml:space="preserve"> pour affecter des enseignants dans des zones peu attractives ;</w:t>
      </w:r>
    </w:p>
    <w:p w:rsidR="00641E1B" w:rsidRPr="00C43F17" w:rsidRDefault="00641E1B" w:rsidP="00A7079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l’attribution au chef d’établissement d’un droit de regard sur </w:t>
      </w:r>
      <w:r w:rsidRPr="00425434">
        <w:rPr>
          <w:rFonts w:eastAsia="Times New Roman" w:cs="Arial"/>
          <w:b/>
          <w:sz w:val="24"/>
          <w:szCs w:val="24"/>
        </w:rPr>
        <w:t>le recrutement des personnels d’enseignement</w:t>
      </w:r>
      <w:r w:rsidRPr="00C43F17">
        <w:rPr>
          <w:rFonts w:eastAsia="Times New Roman" w:cs="Arial"/>
          <w:sz w:val="24"/>
          <w:szCs w:val="24"/>
        </w:rPr>
        <w:t xml:space="preserve"> et d’éducation de son établissement.</w:t>
      </w:r>
    </w:p>
    <w:p w:rsidR="00637219" w:rsidRPr="00C43F17" w:rsidRDefault="00637219" w:rsidP="00A70795">
      <w:pPr>
        <w:shd w:val="clear" w:color="auto" w:fill="FFFFFF"/>
        <w:spacing w:after="0" w:line="240" w:lineRule="auto"/>
        <w:ind w:left="750"/>
        <w:jc w:val="both"/>
        <w:rPr>
          <w:rFonts w:eastAsia="Times New Roman" w:cs="Arial"/>
          <w:sz w:val="24"/>
          <w:szCs w:val="24"/>
        </w:rPr>
      </w:pPr>
    </w:p>
    <w:p w:rsidR="00637219" w:rsidRPr="00C43F17" w:rsidRDefault="00637219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 xml:space="preserve">Toutes ces dispositions remettent en cause les règles statutaires qui forment un cadre stable garantissant un </w:t>
      </w:r>
      <w:r w:rsidR="00A70795" w:rsidRPr="00C43F17">
        <w:rPr>
          <w:rFonts w:eastAsia="Times New Roman" w:cs="Arial"/>
          <w:sz w:val="24"/>
          <w:szCs w:val="24"/>
        </w:rPr>
        <w:t xml:space="preserve">traitement équitable de chacun et un exercice serein du métier. </w:t>
      </w:r>
    </w:p>
    <w:p w:rsidR="00A70795" w:rsidRPr="00C43F17" w:rsidRDefault="00A70795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A70795" w:rsidRDefault="00A70795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C43F17">
        <w:rPr>
          <w:rFonts w:eastAsia="Times New Roman" w:cs="Arial"/>
          <w:sz w:val="24"/>
          <w:szCs w:val="24"/>
        </w:rPr>
        <w:t>Convaincus de votre attachement au service public d’éducation et de votre soutien à ceux qui le font vivre au quotidien, nous comptons sur vous pour faire part de nos attentes et les soutenir dans les prochaines étapes de votre travail parlementaire.</w:t>
      </w:r>
    </w:p>
    <w:p w:rsidR="0055153A" w:rsidRPr="00C43F17" w:rsidRDefault="0055153A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5153A" w:rsidRPr="00536110" w:rsidRDefault="0055153A" w:rsidP="0055153A">
      <w:pPr>
        <w:pStyle w:val="Default"/>
        <w:rPr>
          <w:color w:val="auto"/>
          <w:sz w:val="22"/>
          <w:szCs w:val="22"/>
        </w:rPr>
      </w:pPr>
      <w:r w:rsidRPr="00536110">
        <w:rPr>
          <w:color w:val="auto"/>
          <w:sz w:val="22"/>
          <w:szCs w:val="22"/>
        </w:rPr>
        <w:t>Nous nous tenons à votre disposition pour organiser une rencontre afin de vous exposer l’ensemble de notre analyse.</w:t>
      </w:r>
    </w:p>
    <w:p w:rsidR="0055153A" w:rsidRPr="00C43F17" w:rsidRDefault="0055153A" w:rsidP="00A70795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5153A" w:rsidRPr="00536110" w:rsidRDefault="0055153A" w:rsidP="0055153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Pr="00536110">
        <w:rPr>
          <w:color w:val="auto"/>
          <w:sz w:val="22"/>
          <w:szCs w:val="22"/>
        </w:rPr>
        <w:t xml:space="preserve">euillez accepter, Madame, Monsieur, nos respectueuses salutations. </w:t>
      </w:r>
    </w:p>
    <w:p w:rsidR="0055153A" w:rsidRPr="00536110" w:rsidRDefault="0055153A" w:rsidP="0055153A">
      <w:pPr>
        <w:pStyle w:val="Default"/>
        <w:rPr>
          <w:color w:val="auto"/>
          <w:sz w:val="22"/>
          <w:szCs w:val="22"/>
        </w:rPr>
      </w:pPr>
    </w:p>
    <w:p w:rsidR="00641E1B" w:rsidRPr="00C43F17" w:rsidRDefault="00641E1B" w:rsidP="00A70795">
      <w:pPr>
        <w:spacing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641E1B" w:rsidRPr="00C43F17" w:rsidSect="00825E6E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7FF"/>
    <w:multiLevelType w:val="multilevel"/>
    <w:tmpl w:val="38E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973DC"/>
    <w:multiLevelType w:val="hybridMultilevel"/>
    <w:tmpl w:val="20966DFC"/>
    <w:lvl w:ilvl="0" w:tplc="0E4617D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19"/>
    <w:rsid w:val="00070C09"/>
    <w:rsid w:val="00075295"/>
    <w:rsid w:val="001C3443"/>
    <w:rsid w:val="00231619"/>
    <w:rsid w:val="002F431F"/>
    <w:rsid w:val="003D7857"/>
    <w:rsid w:val="00425434"/>
    <w:rsid w:val="004437C8"/>
    <w:rsid w:val="005120F0"/>
    <w:rsid w:val="0055153A"/>
    <w:rsid w:val="005E5C1F"/>
    <w:rsid w:val="00637219"/>
    <w:rsid w:val="00641E1B"/>
    <w:rsid w:val="00825E6E"/>
    <w:rsid w:val="00886798"/>
    <w:rsid w:val="009019E3"/>
    <w:rsid w:val="00A70795"/>
    <w:rsid w:val="00C43F17"/>
    <w:rsid w:val="00D8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E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C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5E5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E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C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5E5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Marjorie</cp:lastModifiedBy>
  <cp:revision>3</cp:revision>
  <dcterms:created xsi:type="dcterms:W3CDTF">2019-05-28T14:50:00Z</dcterms:created>
  <dcterms:modified xsi:type="dcterms:W3CDTF">2019-05-28T14:51:00Z</dcterms:modified>
</cp:coreProperties>
</file>