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3A" w:rsidRDefault="0039367E" w:rsidP="00C33533">
      <w:pPr>
        <w:pStyle w:val="Titre1"/>
        <w:jc w:val="both"/>
      </w:pPr>
      <w:r w:rsidRPr="003936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1pt;margin-top:18pt;width:114.5pt;height:78.25pt;z-index:251657728;mso-wrap-style:none" stroked="f">
            <v:textbox style="mso-next-textbox:#_x0000_s1028;mso-fit-shape-to-text:t">
              <w:txbxContent>
                <w:p w:rsidR="00905596" w:rsidRDefault="00CF2FF4">
                  <w:r>
                    <w:rPr>
                      <w:noProof/>
                    </w:rPr>
                    <w:drawing>
                      <wp:inline distT="0" distB="0" distL="0" distR="0">
                        <wp:extent cx="1270000" cy="901700"/>
                        <wp:effectExtent l="19050" t="0" r="6350" b="0"/>
                        <wp:docPr id="1" name="Image 1" descr="LOGOunsa-education-quadr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unsa-education-quadr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901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9628E" w:rsidRDefault="0059628E" w:rsidP="00C86584"/>
    <w:p w:rsidR="0059628E" w:rsidRPr="0059628E" w:rsidRDefault="0059628E" w:rsidP="00C86584"/>
    <w:p w:rsidR="00AC633A" w:rsidRDefault="007D5B82" w:rsidP="00C86584">
      <w:pPr>
        <w:pStyle w:val="Titre1"/>
        <w:ind w:left="-1417" w:firstLine="1428"/>
        <w:jc w:val="center"/>
      </w:pPr>
      <w:r>
        <w:t xml:space="preserve"> </w:t>
      </w:r>
    </w:p>
    <w:p w:rsidR="00807F06" w:rsidRDefault="00807F06" w:rsidP="00C86584">
      <w:pPr>
        <w:pStyle w:val="Titre1"/>
        <w:ind w:left="-1417" w:firstLine="1428"/>
        <w:jc w:val="center"/>
      </w:pPr>
    </w:p>
    <w:p w:rsidR="00807F06" w:rsidRDefault="00807F06" w:rsidP="00C86584">
      <w:pPr>
        <w:pStyle w:val="Titre1"/>
        <w:ind w:left="-1417" w:firstLine="1428"/>
        <w:jc w:val="center"/>
      </w:pPr>
    </w:p>
    <w:p w:rsidR="005F5CFF" w:rsidRPr="00C33533" w:rsidRDefault="002E5D54" w:rsidP="00C3353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8"/>
        <w:jc w:val="center"/>
        <w:rPr>
          <w:rFonts w:ascii="Verdana" w:hAnsi="Verdana"/>
          <w:b w:val="0"/>
        </w:rPr>
      </w:pPr>
      <w:r w:rsidRPr="00C33533">
        <w:rPr>
          <w:rFonts w:ascii="Verdana" w:hAnsi="Verdana"/>
          <w:b w:val="0"/>
        </w:rPr>
        <w:t xml:space="preserve">DECLARATION </w:t>
      </w:r>
      <w:r w:rsidR="00B57577" w:rsidRPr="00C33533">
        <w:rPr>
          <w:rFonts w:ascii="Verdana" w:hAnsi="Verdana"/>
          <w:b w:val="0"/>
        </w:rPr>
        <w:t xml:space="preserve">CDEN </w:t>
      </w:r>
      <w:r w:rsidR="00DE7B4A" w:rsidRPr="00C33533">
        <w:rPr>
          <w:rFonts w:ascii="Verdana" w:hAnsi="Verdana"/>
          <w:b w:val="0"/>
        </w:rPr>
        <w:t xml:space="preserve">du </w:t>
      </w:r>
      <w:r w:rsidR="0021143C" w:rsidRPr="00C33533">
        <w:rPr>
          <w:rFonts w:ascii="Verdana" w:hAnsi="Verdana"/>
          <w:b w:val="0"/>
        </w:rPr>
        <w:t>25</w:t>
      </w:r>
      <w:r w:rsidR="00DE7B4A" w:rsidRPr="00C33533">
        <w:rPr>
          <w:rFonts w:ascii="Verdana" w:hAnsi="Verdana"/>
          <w:b w:val="0"/>
        </w:rPr>
        <w:t xml:space="preserve"> Février 201</w:t>
      </w:r>
      <w:r w:rsidR="002C6243" w:rsidRPr="00C33533">
        <w:rPr>
          <w:rFonts w:ascii="Verdana" w:hAnsi="Verdana"/>
          <w:b w:val="0"/>
        </w:rPr>
        <w:t>6</w:t>
      </w:r>
    </w:p>
    <w:p w:rsidR="0059628E" w:rsidRDefault="0059628E" w:rsidP="00C86584">
      <w:pPr>
        <w:jc w:val="both"/>
      </w:pPr>
    </w:p>
    <w:p w:rsidR="00176924" w:rsidRDefault="002C6243" w:rsidP="00761999">
      <w:pPr>
        <w:spacing w:line="360" w:lineRule="auto"/>
        <w:rPr>
          <w:rFonts w:ascii="Verdana" w:hAnsi="Verdana"/>
        </w:rPr>
      </w:pPr>
      <w:r w:rsidRPr="002C6243">
        <w:rPr>
          <w:rFonts w:ascii="Verdana" w:hAnsi="Verdana"/>
        </w:rPr>
        <w:t>Après le CDEN du 12 février dernier et les décisions annoncées par les rep</w:t>
      </w:r>
      <w:r>
        <w:rPr>
          <w:rFonts w:ascii="Verdana" w:hAnsi="Verdana"/>
        </w:rPr>
        <w:t>résentants du C</w:t>
      </w:r>
      <w:r w:rsidR="00CF2FF4">
        <w:rPr>
          <w:rFonts w:ascii="Verdana" w:hAnsi="Verdana"/>
        </w:rPr>
        <w:t xml:space="preserve">onseil </w:t>
      </w:r>
      <w:r>
        <w:rPr>
          <w:rFonts w:ascii="Verdana" w:hAnsi="Verdana"/>
        </w:rPr>
        <w:t>D</w:t>
      </w:r>
      <w:r w:rsidR="00CF2FF4">
        <w:rPr>
          <w:rFonts w:ascii="Verdana" w:hAnsi="Verdana"/>
        </w:rPr>
        <w:t xml:space="preserve">épartemental </w:t>
      </w:r>
      <w:r>
        <w:rPr>
          <w:rFonts w:ascii="Verdana" w:hAnsi="Verdana"/>
        </w:rPr>
        <w:t>28, nous ne pouvons que faire le lien avec l’instance de ce jour pour souligner les points suivants :</w:t>
      </w:r>
    </w:p>
    <w:p w:rsidR="002C6243" w:rsidRDefault="002C6243" w:rsidP="00761999">
      <w:pPr>
        <w:pStyle w:val="Paragraphedeliste"/>
        <w:numPr>
          <w:ilvl w:val="0"/>
          <w:numId w:val="6"/>
        </w:numPr>
        <w:spacing w:line="360" w:lineRule="auto"/>
        <w:ind w:left="284" w:hanging="284"/>
        <w:rPr>
          <w:rFonts w:ascii="Verdana" w:hAnsi="Verdana"/>
        </w:rPr>
      </w:pPr>
      <w:r w:rsidRPr="0021143C">
        <w:rPr>
          <w:rFonts w:ascii="Verdana" w:hAnsi="Verdana"/>
        </w:rPr>
        <w:t xml:space="preserve">La concertation est lettre morte dans ce département, avec des décisions </w:t>
      </w:r>
      <w:r w:rsidR="00DD61E2" w:rsidRPr="0021143C">
        <w:rPr>
          <w:rFonts w:ascii="Verdana" w:hAnsi="Verdana"/>
        </w:rPr>
        <w:t>à l’évidence</w:t>
      </w:r>
      <w:r w:rsidRPr="0021143C">
        <w:rPr>
          <w:rFonts w:ascii="Verdana" w:hAnsi="Verdana"/>
        </w:rPr>
        <w:t xml:space="preserve"> contraires à l’intérêt général.</w:t>
      </w:r>
    </w:p>
    <w:p w:rsidR="0021143C" w:rsidRDefault="0021143C" w:rsidP="00761999">
      <w:pPr>
        <w:pStyle w:val="Paragraphedeliste"/>
        <w:numPr>
          <w:ilvl w:val="0"/>
          <w:numId w:val="6"/>
        </w:numPr>
        <w:spacing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Le collège Jean Moulin ne doit pas fermer sans qu’il lui soit proposé de nouveaux locaux.</w:t>
      </w:r>
    </w:p>
    <w:p w:rsidR="0021143C" w:rsidRPr="0021143C" w:rsidRDefault="0021143C" w:rsidP="00761999">
      <w:pPr>
        <w:pStyle w:val="Paragraphedeliste"/>
        <w:numPr>
          <w:ilvl w:val="0"/>
          <w:numId w:val="6"/>
        </w:numPr>
        <w:spacing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Les répartitions soit disant temporaires des plus de 400 élèves sont une escroquerie intellectuelle. Le promoteur immobilier ne doi</w:t>
      </w:r>
      <w:r w:rsidR="005A20A7">
        <w:rPr>
          <w:rFonts w:ascii="Verdana" w:hAnsi="Verdana"/>
        </w:rPr>
        <w:t>t pas voir son intérêt placé au-</w:t>
      </w:r>
      <w:r>
        <w:rPr>
          <w:rFonts w:ascii="Verdana" w:hAnsi="Verdana"/>
        </w:rPr>
        <w:t>dessus de celui des élèves de la ville de Chartres, sans d’ailleurs avoir justifié à aucun moment de l’urgence de son besoin pressant (et ce malgré les demandes formulées à cet endroit soit dit en passant).</w:t>
      </w:r>
    </w:p>
    <w:p w:rsidR="002C6243" w:rsidRDefault="00DD61E2" w:rsidP="00761999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br/>
      </w:r>
      <w:r w:rsidR="002C6243">
        <w:rPr>
          <w:rFonts w:ascii="Verdana" w:hAnsi="Verdana"/>
        </w:rPr>
        <w:t>La gestion de ce dossier doit retrouver une transparence qui lui fait défaut depuis le début.</w:t>
      </w:r>
      <w:r w:rsidR="002C6243">
        <w:rPr>
          <w:rFonts w:ascii="Verdana" w:hAnsi="Verdana"/>
        </w:rPr>
        <w:br/>
        <w:t xml:space="preserve">Des contacts syndicaux des personnels de direction rapportent que pas plus tard qu’avant-hier, la rectrice </w:t>
      </w:r>
      <w:r w:rsidR="00CF2FF4">
        <w:rPr>
          <w:rFonts w:ascii="Verdana" w:hAnsi="Verdana"/>
        </w:rPr>
        <w:t xml:space="preserve">leur </w:t>
      </w:r>
      <w:r w:rsidR="002C6243">
        <w:rPr>
          <w:rFonts w:ascii="Verdana" w:hAnsi="Verdana"/>
        </w:rPr>
        <w:t>disait que rien n’était encore fait au sujet du collège Jean Moulin ! Le manque de cohé</w:t>
      </w:r>
      <w:r w:rsidR="0021143C">
        <w:rPr>
          <w:rFonts w:ascii="Verdana" w:hAnsi="Verdana"/>
        </w:rPr>
        <w:t>rence des annonces venant de l’Education N</w:t>
      </w:r>
      <w:r w:rsidR="002C6243">
        <w:rPr>
          <w:rFonts w:ascii="Verdana" w:hAnsi="Verdana"/>
        </w:rPr>
        <w:t xml:space="preserve">ationale </w:t>
      </w:r>
      <w:r>
        <w:rPr>
          <w:rFonts w:ascii="Verdana" w:hAnsi="Verdana"/>
        </w:rPr>
        <w:t>avec celle</w:t>
      </w:r>
      <w:r w:rsidR="00CF2FF4">
        <w:rPr>
          <w:rFonts w:ascii="Verdana" w:hAnsi="Verdana"/>
        </w:rPr>
        <w:t>s</w:t>
      </w:r>
      <w:r>
        <w:rPr>
          <w:rFonts w:ascii="Verdana" w:hAnsi="Verdana"/>
        </w:rPr>
        <w:t xml:space="preserve"> venant</w:t>
      </w:r>
      <w:r w:rsidR="0021143C">
        <w:rPr>
          <w:rFonts w:ascii="Verdana" w:hAnsi="Verdana"/>
        </w:rPr>
        <w:t xml:space="preserve"> du Conseil D</w:t>
      </w:r>
      <w:r w:rsidR="002C6243">
        <w:rPr>
          <w:rFonts w:ascii="Verdana" w:hAnsi="Verdana"/>
        </w:rPr>
        <w:t xml:space="preserve">épartemental est inquiétant. </w:t>
      </w:r>
      <w:r w:rsidR="00CF2FF4">
        <w:rPr>
          <w:rFonts w:ascii="Verdana" w:hAnsi="Verdana"/>
        </w:rPr>
        <w:br/>
      </w:r>
      <w:r w:rsidR="0021143C">
        <w:rPr>
          <w:rFonts w:ascii="Verdana" w:hAnsi="Verdana"/>
        </w:rPr>
        <w:t xml:space="preserve">De même, </w:t>
      </w:r>
      <w:r w:rsidR="002C6243">
        <w:rPr>
          <w:rFonts w:ascii="Verdana" w:hAnsi="Verdana"/>
        </w:rPr>
        <w:t xml:space="preserve">le manque de cohérence </w:t>
      </w:r>
      <w:r w:rsidR="0021143C">
        <w:rPr>
          <w:rFonts w:ascii="Verdana" w:hAnsi="Verdana"/>
        </w:rPr>
        <w:t xml:space="preserve">apparaît avec </w:t>
      </w:r>
      <w:r w:rsidR="002C6243">
        <w:rPr>
          <w:rFonts w:ascii="Verdana" w:hAnsi="Verdana"/>
        </w:rPr>
        <w:t xml:space="preserve">des projets de surcharge de certains collèges (qui passeraient à 900 élèves, une capacité </w:t>
      </w:r>
      <w:r w:rsidR="00CF2FF4">
        <w:rPr>
          <w:rFonts w:ascii="Verdana" w:hAnsi="Verdana"/>
        </w:rPr>
        <w:t>difficile à</w:t>
      </w:r>
      <w:r w:rsidR="002C6243">
        <w:rPr>
          <w:rFonts w:ascii="Verdana" w:hAnsi="Verdana"/>
        </w:rPr>
        <w:t xml:space="preserve"> ma</w:t>
      </w:r>
      <w:r w:rsidR="0021143C">
        <w:rPr>
          <w:rFonts w:ascii="Verdana" w:hAnsi="Verdana"/>
        </w:rPr>
        <w:t>î</w:t>
      </w:r>
      <w:r w:rsidR="002C6243">
        <w:rPr>
          <w:rFonts w:ascii="Verdana" w:hAnsi="Verdana"/>
        </w:rPr>
        <w:t>tris</w:t>
      </w:r>
      <w:r w:rsidR="00CF2FF4">
        <w:rPr>
          <w:rFonts w:ascii="Verdana" w:hAnsi="Verdana"/>
        </w:rPr>
        <w:t>er</w:t>
      </w:r>
      <w:r w:rsidR="002C6243">
        <w:rPr>
          <w:rFonts w:ascii="Verdana" w:hAnsi="Verdana"/>
        </w:rPr>
        <w:t>)</w:t>
      </w:r>
      <w:r w:rsidR="00CF2FF4">
        <w:rPr>
          <w:rFonts w:ascii="Verdana" w:hAnsi="Verdana"/>
        </w:rPr>
        <w:t>,</w:t>
      </w:r>
      <w:r w:rsidR="002C6243">
        <w:rPr>
          <w:rFonts w:ascii="Verdana" w:hAnsi="Verdana"/>
        </w:rPr>
        <w:t xml:space="preserve"> alors que d’autres collèges de l’agglomération sont en sous-effectif…</w:t>
      </w:r>
    </w:p>
    <w:p w:rsidR="00DD61E2" w:rsidRDefault="00DD61E2" w:rsidP="00761999">
      <w:pPr>
        <w:spacing w:line="360" w:lineRule="auto"/>
        <w:rPr>
          <w:rFonts w:ascii="Verdana" w:hAnsi="Verdana"/>
        </w:rPr>
      </w:pPr>
    </w:p>
    <w:p w:rsidR="00DD61E2" w:rsidRDefault="00DD61E2" w:rsidP="00761999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Au sujet de la carte scolaire premier degré, revenons quelques mois en arrière </w:t>
      </w:r>
      <w:r w:rsidR="0021143C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des promesses ont </w:t>
      </w:r>
      <w:r w:rsidR="0021143C">
        <w:rPr>
          <w:rFonts w:ascii="Verdana" w:hAnsi="Verdana"/>
        </w:rPr>
        <w:t xml:space="preserve">alors </w:t>
      </w:r>
      <w:r>
        <w:rPr>
          <w:rFonts w:ascii="Verdana" w:hAnsi="Verdana"/>
        </w:rPr>
        <w:t xml:space="preserve">été faites d’un maintien des moyens des </w:t>
      </w:r>
      <w:r>
        <w:rPr>
          <w:rFonts w:ascii="Verdana" w:hAnsi="Verdana"/>
        </w:rPr>
        <w:lastRenderedPageBreak/>
        <w:t>zones rurales dépossédées de leur statut de zone d’éducation prioritaire</w:t>
      </w:r>
      <w:r w:rsidR="00CF2FF4">
        <w:rPr>
          <w:rFonts w:ascii="Verdana" w:hAnsi="Verdana"/>
        </w:rPr>
        <w:t xml:space="preserve">, qu’elles avaient </w:t>
      </w:r>
      <w:r w:rsidR="0021143C">
        <w:rPr>
          <w:rFonts w:ascii="Verdana" w:hAnsi="Verdana"/>
        </w:rPr>
        <w:t xml:space="preserve">alors, </w:t>
      </w:r>
      <w:r w:rsidR="00CF2FF4">
        <w:rPr>
          <w:rFonts w:ascii="Verdana" w:hAnsi="Verdana"/>
        </w:rPr>
        <w:t>ou qui leur revenait</w:t>
      </w:r>
      <w:r>
        <w:rPr>
          <w:rFonts w:ascii="Verdana" w:hAnsi="Verdana"/>
        </w:rPr>
        <w:t xml:space="preserve">. </w:t>
      </w:r>
      <w:r w:rsidR="00CF2FF4">
        <w:rPr>
          <w:rFonts w:ascii="Verdana" w:hAnsi="Verdana"/>
        </w:rPr>
        <w:br/>
      </w:r>
      <w:r>
        <w:rPr>
          <w:rFonts w:ascii="Verdana" w:hAnsi="Verdana"/>
        </w:rPr>
        <w:t>Aujourd’hui, des fermetures de classe</w:t>
      </w:r>
      <w:r w:rsidR="00CF2FF4">
        <w:rPr>
          <w:rFonts w:ascii="Verdana" w:hAnsi="Verdana"/>
        </w:rPr>
        <w:t>s</w:t>
      </w:r>
      <w:r>
        <w:rPr>
          <w:rFonts w:ascii="Verdana" w:hAnsi="Verdana"/>
        </w:rPr>
        <w:t xml:space="preserve"> sont annoncées pour les écoles de Senonches et d’</w:t>
      </w:r>
      <w:proofErr w:type="spellStart"/>
      <w:r>
        <w:rPr>
          <w:rFonts w:ascii="Verdana" w:hAnsi="Verdana"/>
        </w:rPr>
        <w:t>Authon</w:t>
      </w:r>
      <w:r w:rsidR="0021143C">
        <w:rPr>
          <w:rFonts w:ascii="Verdana" w:hAnsi="Verdana"/>
        </w:rPr>
        <w:t>-</w:t>
      </w:r>
      <w:r>
        <w:rPr>
          <w:rFonts w:ascii="Verdana" w:hAnsi="Verdana"/>
        </w:rPr>
        <w:t>du</w:t>
      </w:r>
      <w:r w:rsidR="0021143C">
        <w:rPr>
          <w:rFonts w:ascii="Verdana" w:hAnsi="Verdana"/>
        </w:rPr>
        <w:t>-</w:t>
      </w:r>
      <w:r>
        <w:rPr>
          <w:rFonts w:ascii="Verdana" w:hAnsi="Verdana"/>
        </w:rPr>
        <w:t>Perche</w:t>
      </w:r>
      <w:proofErr w:type="spellEnd"/>
      <w:r>
        <w:rPr>
          <w:rFonts w:ascii="Verdana" w:hAnsi="Verdana"/>
        </w:rPr>
        <w:t xml:space="preserve">, en contradiction avec ces promesses. </w:t>
      </w:r>
      <w:r w:rsidR="00CF2FF4">
        <w:rPr>
          <w:rFonts w:ascii="Verdana" w:hAnsi="Verdana"/>
        </w:rPr>
        <w:br/>
      </w:r>
      <w:r>
        <w:rPr>
          <w:rFonts w:ascii="Verdana" w:hAnsi="Verdana"/>
        </w:rPr>
        <w:t xml:space="preserve">Ces secteurs sont des secteurs </w:t>
      </w:r>
      <w:r w:rsidR="0021143C">
        <w:rPr>
          <w:rFonts w:ascii="Verdana" w:hAnsi="Verdana"/>
        </w:rPr>
        <w:t>qui ont besoin du soutien de l’Education N</w:t>
      </w:r>
      <w:r>
        <w:rPr>
          <w:rFonts w:ascii="Verdana" w:hAnsi="Verdana"/>
        </w:rPr>
        <w:t>ationale pour une scolarisation des enfants dès le plus jeune âge. Avec ces fermetures, il sera possible d’avoir des classes à triple niveau en maternelle</w:t>
      </w:r>
      <w:r w:rsidR="00CF2FF4">
        <w:rPr>
          <w:rFonts w:ascii="Verdana" w:hAnsi="Verdana"/>
        </w:rPr>
        <w:t> :</w:t>
      </w:r>
      <w:r>
        <w:rPr>
          <w:rFonts w:ascii="Verdana" w:hAnsi="Verdana"/>
        </w:rPr>
        <w:t xml:space="preserve"> Tout-petits, Petits et Moyens, </w:t>
      </w:r>
      <w:r w:rsidR="0021143C">
        <w:rPr>
          <w:rFonts w:ascii="Verdana" w:hAnsi="Verdana"/>
        </w:rPr>
        <w:t>ou</w:t>
      </w:r>
      <w:r>
        <w:rPr>
          <w:rFonts w:ascii="Verdana" w:hAnsi="Verdana"/>
        </w:rPr>
        <w:t xml:space="preserve"> d’avoir des classes à 30 d’effectif voire plus (avec les arrivées déjà programmées en cours d’année mais non comptabilisées</w:t>
      </w:r>
      <w:r w:rsidR="00CF2FF4">
        <w:rPr>
          <w:rFonts w:ascii="Verdana" w:hAnsi="Verdana"/>
        </w:rPr>
        <w:t xml:space="preserve"> par l’administration</w:t>
      </w:r>
      <w:r>
        <w:rPr>
          <w:rFonts w:ascii="Verdana" w:hAnsi="Verdana"/>
        </w:rPr>
        <w:t>)</w:t>
      </w:r>
      <w:r w:rsidR="00CF2FF4">
        <w:rPr>
          <w:rFonts w:ascii="Verdana" w:hAnsi="Verdana"/>
        </w:rPr>
        <w:t>. Point de scolarisation des enfants de moins de trois ans, donc, alors que l’on sait pertinemment que c’est nécessaire.</w:t>
      </w:r>
      <w:r w:rsidR="00CF2FF4">
        <w:rPr>
          <w:rFonts w:ascii="Verdana" w:hAnsi="Verdana"/>
        </w:rPr>
        <w:br/>
        <w:t xml:space="preserve">Pourquoi délaisser ces </w:t>
      </w:r>
      <w:r w:rsidR="0021143C">
        <w:rPr>
          <w:rFonts w:ascii="Verdana" w:hAnsi="Verdana"/>
        </w:rPr>
        <w:t>secteurs Monsieur le Directeur A</w:t>
      </w:r>
      <w:r w:rsidR="00CF2FF4">
        <w:rPr>
          <w:rFonts w:ascii="Verdana" w:hAnsi="Verdana"/>
        </w:rPr>
        <w:t>cadémique ?</w:t>
      </w:r>
    </w:p>
    <w:p w:rsidR="00CB4862" w:rsidRDefault="00CB4862" w:rsidP="00761999">
      <w:pPr>
        <w:spacing w:line="360" w:lineRule="auto"/>
        <w:rPr>
          <w:rFonts w:ascii="Verdana" w:hAnsi="Verdana"/>
        </w:rPr>
      </w:pPr>
    </w:p>
    <w:p w:rsidR="00CB4862" w:rsidRPr="00CB4862" w:rsidRDefault="00761999" w:rsidP="00CB4862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/>
        </w:rPr>
        <w:t>En ce qui concerne la rentrée 2016 dans les collèges du département, là non plus, le compte n’</w:t>
      </w:r>
      <w:r w:rsidR="00CB4862">
        <w:rPr>
          <w:rFonts w:ascii="Verdana" w:hAnsi="Verdana"/>
        </w:rPr>
        <w:t>y est pas : à</w:t>
      </w:r>
      <w:r>
        <w:rPr>
          <w:rFonts w:ascii="Verdana" w:hAnsi="Verdana"/>
        </w:rPr>
        <w:t xml:space="preserve"> effectif global quasi identique, +</w:t>
      </w:r>
      <w:r w:rsidR="00CB486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45 élèves, le département perd un ETP. </w:t>
      </w:r>
      <w:r w:rsidR="00CB4862">
        <w:rPr>
          <w:rFonts w:ascii="Verdana" w:hAnsi="Verdana"/>
        </w:rPr>
        <w:t xml:space="preserve">Or, nous devrions au contraire bénéficier de plus d’heures l’an prochain en raison de la mise en place de la réforme. Pourquoi l’Eure-et-Loir n’en reçoit pas autant qu’elle le devrait ? </w:t>
      </w:r>
      <w:r w:rsidR="00CB4862" w:rsidRPr="00CB4862">
        <w:rPr>
          <w:rFonts w:ascii="Verdana" w:hAnsi="Verdana" w:cs="Arial"/>
        </w:rPr>
        <w:t>Le département se retrouve, de ce fait, complètement clivé : suivant les effets de seuil, nettement plus marqués cette année, un collège sera correctement doté et pourra respecter l’esprit de la réforme, alors qu’un autre</w:t>
      </w:r>
      <w:r w:rsidR="00A922A2">
        <w:rPr>
          <w:rFonts w:ascii="Verdana" w:hAnsi="Verdana" w:cs="Arial"/>
        </w:rPr>
        <w:t>,</w:t>
      </w:r>
      <w:r w:rsidR="00CB4862" w:rsidRPr="00CB4862">
        <w:rPr>
          <w:rFonts w:ascii="Verdana" w:hAnsi="Verdana" w:cs="Arial"/>
        </w:rPr>
        <w:t xml:space="preserve"> auquel on aura fait « disparaître » quelques élèves</w:t>
      </w:r>
      <w:r w:rsidR="00A922A2">
        <w:rPr>
          <w:rFonts w:ascii="Verdana" w:hAnsi="Verdana" w:cs="Arial"/>
        </w:rPr>
        <w:t>,</w:t>
      </w:r>
      <w:r w:rsidR="00CB4862" w:rsidRPr="00CB4862">
        <w:rPr>
          <w:rFonts w:ascii="Verdana" w:hAnsi="Verdana" w:cs="Arial"/>
        </w:rPr>
        <w:t xml:space="preserve"> se retrouvera complètement dans l’impossibilité matérielle de mettre en place quoi que ce soit.</w:t>
      </w:r>
    </w:p>
    <w:p w:rsidR="00CB4862" w:rsidRDefault="00CB4862" w:rsidP="00761999">
      <w:pPr>
        <w:spacing w:line="360" w:lineRule="auto"/>
        <w:rPr>
          <w:rFonts w:ascii="Verdana" w:hAnsi="Verdana"/>
        </w:rPr>
      </w:pPr>
      <w:r w:rsidRPr="00CB4862">
        <w:rPr>
          <w:rFonts w:ascii="Verdana" w:hAnsi="Verdana" w:cs="Arial"/>
        </w:rPr>
        <w:t xml:space="preserve">Cette </w:t>
      </w:r>
      <w:r>
        <w:rPr>
          <w:rFonts w:ascii="Verdana" w:hAnsi="Verdana" w:cs="Arial"/>
        </w:rPr>
        <w:t>dotation</w:t>
      </w:r>
      <w:r w:rsidRPr="00CB4862">
        <w:rPr>
          <w:rFonts w:ascii="Verdana" w:hAnsi="Verdana" w:cs="Arial"/>
        </w:rPr>
        <w:t xml:space="preserve"> a jeté un grand malaise dans ce</w:t>
      </w:r>
      <w:r>
        <w:rPr>
          <w:rFonts w:ascii="Verdana" w:hAnsi="Verdana" w:cs="Arial"/>
        </w:rPr>
        <w:t>rtains</w:t>
      </w:r>
      <w:r w:rsidRPr="00CB4862">
        <w:rPr>
          <w:rFonts w:ascii="Verdana" w:hAnsi="Verdana" w:cs="Arial"/>
        </w:rPr>
        <w:t xml:space="preserve"> établissements.</w:t>
      </w:r>
    </w:p>
    <w:p w:rsidR="00761999" w:rsidRPr="00761999" w:rsidRDefault="00761999" w:rsidP="00761999">
      <w:pPr>
        <w:spacing w:line="360" w:lineRule="auto"/>
        <w:jc w:val="both"/>
        <w:rPr>
          <w:rFonts w:ascii="Verdana" w:hAnsi="Verdana" w:cs="Arial"/>
        </w:rPr>
      </w:pPr>
      <w:r w:rsidRPr="00761999">
        <w:rPr>
          <w:rFonts w:ascii="Verdana" w:hAnsi="Verdana" w:cs="Arial"/>
        </w:rPr>
        <w:t xml:space="preserve">Concernant les DHG attribuées, nous observions l’an dernier un maximum prévu de 27,83 élèves par division. Cette année, ce sont 20 niveaux qui dépassent allègrement ce seuil, allant jusqu’à 29,75 à </w:t>
      </w:r>
      <w:proofErr w:type="spellStart"/>
      <w:r w:rsidRPr="00761999">
        <w:rPr>
          <w:rFonts w:ascii="Verdana" w:hAnsi="Verdana" w:cs="Arial"/>
        </w:rPr>
        <w:t>Gallardon</w:t>
      </w:r>
      <w:proofErr w:type="spellEnd"/>
      <w:r w:rsidRPr="00761999">
        <w:rPr>
          <w:rFonts w:ascii="Verdana" w:hAnsi="Verdana" w:cs="Arial"/>
        </w:rPr>
        <w:t xml:space="preserve"> ! </w:t>
      </w:r>
      <w:r w:rsidR="00CB4862">
        <w:rPr>
          <w:rFonts w:ascii="Verdana" w:hAnsi="Verdana" w:cs="Arial"/>
        </w:rPr>
        <w:t>La hausse d’effectifs par classe concerne à peu près tous les types de collèges, et pas seulement ceux dits « très favorisés ». Cela a d’ailleurs conduit de nombreux collègues et parents d’élèves à manifester</w:t>
      </w:r>
      <w:r w:rsidR="00A922A2">
        <w:rPr>
          <w:rFonts w:ascii="Verdana" w:hAnsi="Verdana" w:cs="Arial"/>
        </w:rPr>
        <w:t xml:space="preserve"> leur désaccord quant à la situation de leur collège, avec des actions diverses </w:t>
      </w:r>
      <w:r w:rsidR="00A922A2">
        <w:rPr>
          <w:rFonts w:ascii="Verdana" w:hAnsi="Verdana" w:cs="Arial"/>
        </w:rPr>
        <w:lastRenderedPageBreak/>
        <w:t>mais très suivies. C’est bien la première fois qu’autant d’établissements sont touchés.</w:t>
      </w:r>
      <w:r w:rsidR="00CB4862">
        <w:rPr>
          <w:rFonts w:ascii="Verdana" w:hAnsi="Verdana" w:cs="Arial"/>
        </w:rPr>
        <w:t xml:space="preserve">  </w:t>
      </w:r>
      <w:r w:rsidRPr="00761999">
        <w:rPr>
          <w:rFonts w:ascii="Verdana" w:hAnsi="Verdana" w:cs="Arial"/>
        </w:rPr>
        <w:t>Comment peut-on tolérer de telles prévisions ?</w:t>
      </w:r>
      <w:r>
        <w:rPr>
          <w:rFonts w:ascii="Verdana" w:hAnsi="Verdana" w:cs="Arial"/>
        </w:rPr>
        <w:t xml:space="preserve"> </w:t>
      </w:r>
    </w:p>
    <w:p w:rsidR="00C33533" w:rsidRPr="00C33533" w:rsidRDefault="00C33533" w:rsidP="00C33533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/>
        </w:rPr>
        <w:t>De plus</w:t>
      </w:r>
      <w:r w:rsidR="00A922A2">
        <w:rPr>
          <w:rFonts w:ascii="Verdana" w:hAnsi="Verdana"/>
        </w:rPr>
        <w:t>,</w:t>
      </w:r>
      <w:r>
        <w:rPr>
          <w:rFonts w:ascii="Verdana" w:hAnsi="Verdana"/>
        </w:rPr>
        <w:t xml:space="preserve"> le</w:t>
      </w:r>
      <w:r w:rsidR="00A922A2">
        <w:rPr>
          <w:rFonts w:ascii="Verdana" w:hAnsi="Verdana"/>
        </w:rPr>
        <w:t xml:space="preserve"> SE-UNSA 28 réitère sa demande de comptabiliser </w:t>
      </w:r>
      <w:r>
        <w:rPr>
          <w:rFonts w:ascii="Verdana" w:hAnsi="Verdana"/>
        </w:rPr>
        <w:t>les effectifs ULIS.</w:t>
      </w:r>
      <w:r w:rsidRPr="00C3353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Nous constatons en effet</w:t>
      </w:r>
      <w:r w:rsidRPr="00C33533">
        <w:rPr>
          <w:rFonts w:ascii="Verdana" w:hAnsi="Verdana" w:cs="Arial"/>
        </w:rPr>
        <w:t xml:space="preserve"> que certains établissements </w:t>
      </w:r>
      <w:r>
        <w:rPr>
          <w:rFonts w:ascii="Verdana" w:hAnsi="Verdana" w:cs="Arial"/>
        </w:rPr>
        <w:t>concern</w:t>
      </w:r>
      <w:r w:rsidRPr="00C33533">
        <w:rPr>
          <w:rFonts w:ascii="Verdana" w:hAnsi="Verdana" w:cs="Arial"/>
        </w:rPr>
        <w:t xml:space="preserve">és à l’instant comportent des ULIS dont les effectifs n’apparaissent toujours pas dans la DHG : </w:t>
      </w:r>
      <w:r>
        <w:rPr>
          <w:rFonts w:ascii="Verdana" w:hAnsi="Verdana" w:cs="Arial"/>
        </w:rPr>
        <w:t>c</w:t>
      </w:r>
      <w:r w:rsidRPr="00C33533">
        <w:rPr>
          <w:rFonts w:ascii="Verdana" w:hAnsi="Verdana" w:cs="Arial"/>
        </w:rPr>
        <w:t xml:space="preserve">omment inclure des élèves (et leur AVS pour beaucoup d’entre eux), dans des classes plus que surchargées ? </w:t>
      </w:r>
    </w:p>
    <w:p w:rsidR="00C33533" w:rsidRPr="00C33533" w:rsidRDefault="00C33533" w:rsidP="00C33533">
      <w:pPr>
        <w:spacing w:line="276" w:lineRule="auto"/>
        <w:rPr>
          <w:rFonts w:ascii="Verdana" w:hAnsi="Verdana"/>
        </w:rPr>
      </w:pPr>
    </w:p>
    <w:p w:rsidR="00761999" w:rsidRPr="00761999" w:rsidRDefault="00761999" w:rsidP="00761999">
      <w:pPr>
        <w:spacing w:line="360" w:lineRule="auto"/>
        <w:jc w:val="both"/>
        <w:rPr>
          <w:rFonts w:ascii="Verdana" w:hAnsi="Verdana" w:cs="Arial"/>
          <w:color w:val="FF0000"/>
        </w:rPr>
      </w:pPr>
    </w:p>
    <w:p w:rsidR="00761999" w:rsidRPr="00761999" w:rsidRDefault="00761999" w:rsidP="00761999">
      <w:pPr>
        <w:spacing w:line="360" w:lineRule="auto"/>
        <w:jc w:val="both"/>
        <w:rPr>
          <w:rFonts w:ascii="Verdana" w:hAnsi="Verdana" w:cs="Arial"/>
          <w:color w:val="FF0000"/>
        </w:rPr>
      </w:pPr>
    </w:p>
    <w:p w:rsidR="00C33533" w:rsidRPr="00C33533" w:rsidRDefault="00C33533">
      <w:pPr>
        <w:spacing w:line="276" w:lineRule="auto"/>
        <w:rPr>
          <w:rFonts w:ascii="Verdana" w:hAnsi="Verdana"/>
        </w:rPr>
      </w:pPr>
    </w:p>
    <w:sectPr w:rsidR="00C33533" w:rsidRPr="00C33533" w:rsidSect="00C33533"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2218"/>
    <w:multiLevelType w:val="hybridMultilevel"/>
    <w:tmpl w:val="6786193E"/>
    <w:lvl w:ilvl="0" w:tplc="F8C893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91DCA"/>
    <w:multiLevelType w:val="hybridMultilevel"/>
    <w:tmpl w:val="93603918"/>
    <w:lvl w:ilvl="0" w:tplc="1326E9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E78E8"/>
    <w:multiLevelType w:val="hybridMultilevel"/>
    <w:tmpl w:val="B8A29370"/>
    <w:lvl w:ilvl="0" w:tplc="BC209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F61B0B"/>
    <w:multiLevelType w:val="hybridMultilevel"/>
    <w:tmpl w:val="AE00C3EA"/>
    <w:lvl w:ilvl="0" w:tplc="D67E2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F55FEF"/>
    <w:multiLevelType w:val="hybridMultilevel"/>
    <w:tmpl w:val="6EC8733E"/>
    <w:lvl w:ilvl="0" w:tplc="7C22B3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C5CEE"/>
    <w:multiLevelType w:val="hybridMultilevel"/>
    <w:tmpl w:val="6F186AF4"/>
    <w:lvl w:ilvl="0" w:tplc="697C3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D2C46"/>
    <w:rsid w:val="000043AE"/>
    <w:rsid w:val="00004ED8"/>
    <w:rsid w:val="000B16BE"/>
    <w:rsid w:val="000C31E9"/>
    <w:rsid w:val="000E5207"/>
    <w:rsid w:val="00100ACE"/>
    <w:rsid w:val="00126C03"/>
    <w:rsid w:val="00162CFE"/>
    <w:rsid w:val="00172237"/>
    <w:rsid w:val="00176924"/>
    <w:rsid w:val="001B664A"/>
    <w:rsid w:val="001C20E8"/>
    <w:rsid w:val="0021143C"/>
    <w:rsid w:val="002735D4"/>
    <w:rsid w:val="002C6243"/>
    <w:rsid w:val="002E5D54"/>
    <w:rsid w:val="0039367E"/>
    <w:rsid w:val="003D6367"/>
    <w:rsid w:val="004040FC"/>
    <w:rsid w:val="00414B37"/>
    <w:rsid w:val="00465737"/>
    <w:rsid w:val="005234B2"/>
    <w:rsid w:val="00545041"/>
    <w:rsid w:val="005813E3"/>
    <w:rsid w:val="00582B6D"/>
    <w:rsid w:val="00583D8B"/>
    <w:rsid w:val="00596277"/>
    <w:rsid w:val="0059628E"/>
    <w:rsid w:val="005A20A7"/>
    <w:rsid w:val="005E22B6"/>
    <w:rsid w:val="005F0CD7"/>
    <w:rsid w:val="005F5CFF"/>
    <w:rsid w:val="00653AFA"/>
    <w:rsid w:val="00662ECA"/>
    <w:rsid w:val="006A5FCB"/>
    <w:rsid w:val="006E735D"/>
    <w:rsid w:val="00726A76"/>
    <w:rsid w:val="00750AE8"/>
    <w:rsid w:val="0075286E"/>
    <w:rsid w:val="00761999"/>
    <w:rsid w:val="007D2C46"/>
    <w:rsid w:val="007D5B82"/>
    <w:rsid w:val="00807F06"/>
    <w:rsid w:val="008115C5"/>
    <w:rsid w:val="00855C9E"/>
    <w:rsid w:val="00893157"/>
    <w:rsid w:val="008A29C2"/>
    <w:rsid w:val="008C7DA7"/>
    <w:rsid w:val="00905596"/>
    <w:rsid w:val="00963DE0"/>
    <w:rsid w:val="00994A8E"/>
    <w:rsid w:val="009A432E"/>
    <w:rsid w:val="00A1203A"/>
    <w:rsid w:val="00A61731"/>
    <w:rsid w:val="00A87849"/>
    <w:rsid w:val="00A922A2"/>
    <w:rsid w:val="00AB13BA"/>
    <w:rsid w:val="00AB6C3E"/>
    <w:rsid w:val="00AC633A"/>
    <w:rsid w:val="00AD6C1B"/>
    <w:rsid w:val="00B07100"/>
    <w:rsid w:val="00B35BAD"/>
    <w:rsid w:val="00B406D1"/>
    <w:rsid w:val="00B43EA7"/>
    <w:rsid w:val="00B57577"/>
    <w:rsid w:val="00B9149C"/>
    <w:rsid w:val="00B96046"/>
    <w:rsid w:val="00BD5948"/>
    <w:rsid w:val="00C027E3"/>
    <w:rsid w:val="00C33533"/>
    <w:rsid w:val="00C776C8"/>
    <w:rsid w:val="00C81B8E"/>
    <w:rsid w:val="00C86584"/>
    <w:rsid w:val="00C9352E"/>
    <w:rsid w:val="00CB4862"/>
    <w:rsid w:val="00CF2FF4"/>
    <w:rsid w:val="00D067D7"/>
    <w:rsid w:val="00D617C7"/>
    <w:rsid w:val="00D91226"/>
    <w:rsid w:val="00DD61E2"/>
    <w:rsid w:val="00DE7B4A"/>
    <w:rsid w:val="00E444D1"/>
    <w:rsid w:val="00F35764"/>
    <w:rsid w:val="00F44C12"/>
    <w:rsid w:val="00F7761F"/>
    <w:rsid w:val="00FC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67E"/>
    <w:rPr>
      <w:sz w:val="24"/>
      <w:szCs w:val="24"/>
    </w:rPr>
  </w:style>
  <w:style w:type="paragraph" w:styleId="Titre1">
    <w:name w:val="heading 1"/>
    <w:basedOn w:val="Normal"/>
    <w:next w:val="Normal"/>
    <w:qFormat/>
    <w:rsid w:val="0039367E"/>
    <w:pPr>
      <w:keepNext/>
      <w:outlineLvl w:val="0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76924"/>
    <w:rPr>
      <w:color w:val="0000FF"/>
      <w:u w:val="single"/>
    </w:rPr>
  </w:style>
  <w:style w:type="paragraph" w:styleId="Textedebulles">
    <w:name w:val="Balloon Text"/>
    <w:basedOn w:val="Normal"/>
    <w:semiHidden/>
    <w:rsid w:val="00126C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1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CAPD DU 19/02/2009</vt:lpstr>
    </vt:vector>
  </TitlesOfParts>
  <Company>UNSA</Company>
  <LinksUpToDate>false</LinksUpToDate>
  <CharactersWithSpaces>4264</CharactersWithSpaces>
  <SharedDoc>false</SharedDoc>
  <HLinks>
    <vt:vector size="6" baseType="variant">
      <vt:variant>
        <vt:i4>6291479</vt:i4>
      </vt:variant>
      <vt:variant>
        <vt:i4>0</vt:i4>
      </vt:variant>
      <vt:variant>
        <vt:i4>0</vt:i4>
      </vt:variant>
      <vt:variant>
        <vt:i4>5</vt:i4>
      </vt:variant>
      <vt:variant>
        <vt:lpwstr>mailto:36@unsa-education.org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CAPD DU 19/02/2009</dc:title>
  <dc:creator>SE-UNSA</dc:creator>
  <cp:lastModifiedBy>olivia</cp:lastModifiedBy>
  <cp:revision>5</cp:revision>
  <cp:lastPrinted>2014-02-10T14:37:00Z</cp:lastPrinted>
  <dcterms:created xsi:type="dcterms:W3CDTF">2016-02-24T17:04:00Z</dcterms:created>
  <dcterms:modified xsi:type="dcterms:W3CDTF">2016-02-24T17:49:00Z</dcterms:modified>
</cp:coreProperties>
</file>